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8F0634" w14:textId="62BB508B" w:rsidR="00A851F4" w:rsidRPr="00C97795" w:rsidRDefault="00A851F4" w:rsidP="00E8380B">
      <w:pPr>
        <w:rPr>
          <w:rFonts w:ascii="Candara" w:hAnsi="Candara"/>
        </w:rPr>
      </w:pPr>
    </w:p>
    <w:p w14:paraId="33071160" w14:textId="01EC34CE" w:rsidR="00A851F4" w:rsidRPr="00C97795" w:rsidRDefault="00241031" w:rsidP="00E8380B">
      <w:pPr>
        <w:rPr>
          <w:rFonts w:ascii="Candara" w:hAnsi="Candara"/>
        </w:rPr>
      </w:pPr>
      <w:r w:rsidRPr="00C97795">
        <w:rPr>
          <w:rFonts w:ascii="Candara" w:eastAsia="Times New Roman" w:hAnsi="Candara" w:cs="Times New Roman"/>
          <w:caps/>
          <w:noProof/>
          <w:color w:val="32746D"/>
          <w:sz w:val="36"/>
          <w:szCs w:val="36"/>
        </w:rPr>
        <w:drawing>
          <wp:inline distT="0" distB="0" distL="0" distR="0" wp14:anchorId="5DB286B8" wp14:editId="48AA5041">
            <wp:extent cx="6120130" cy="923290"/>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Logo for SFTAS materials.png"/>
                    <pic:cNvPicPr/>
                  </pic:nvPicPr>
                  <pic:blipFill>
                    <a:blip r:embed="rId9">
                      <a:extLst>
                        <a:ext uri="{28A0092B-C50C-407E-A947-70E740481C1C}">
                          <a14:useLocalDpi xmlns:a14="http://schemas.microsoft.com/office/drawing/2010/main" val="0"/>
                        </a:ext>
                      </a:extLst>
                    </a:blip>
                    <a:stretch>
                      <a:fillRect/>
                    </a:stretch>
                  </pic:blipFill>
                  <pic:spPr>
                    <a:xfrm>
                      <a:off x="0" y="0"/>
                      <a:ext cx="6120130" cy="923290"/>
                    </a:xfrm>
                    <a:prstGeom prst="rect">
                      <a:avLst/>
                    </a:prstGeom>
                  </pic:spPr>
                </pic:pic>
              </a:graphicData>
            </a:graphic>
          </wp:inline>
        </w:drawing>
      </w:r>
    </w:p>
    <w:p w14:paraId="7EEAD69D" w14:textId="32AAA97A" w:rsidR="00A851F4" w:rsidRPr="00C97795" w:rsidRDefault="00A851F4" w:rsidP="00241031">
      <w:pPr>
        <w:rPr>
          <w:rFonts w:ascii="Candara" w:hAnsi="Candara"/>
        </w:rPr>
      </w:pPr>
    </w:p>
    <w:p w14:paraId="6B330AC1" w14:textId="77777777" w:rsidR="00241031" w:rsidRPr="00C97795" w:rsidRDefault="00241031" w:rsidP="00241031">
      <w:pPr>
        <w:jc w:val="center"/>
        <w:rPr>
          <w:rFonts w:ascii="Candara" w:hAnsi="Candara"/>
          <w:b/>
          <w:bCs/>
          <w:sz w:val="32"/>
          <w:szCs w:val="32"/>
        </w:rPr>
      </w:pPr>
    </w:p>
    <w:p w14:paraId="6CD93205" w14:textId="77777777" w:rsidR="00241031" w:rsidRPr="00C97795" w:rsidRDefault="00241031" w:rsidP="00241031">
      <w:pPr>
        <w:jc w:val="center"/>
        <w:rPr>
          <w:rFonts w:ascii="Candara" w:hAnsi="Candara"/>
          <w:b/>
          <w:bCs/>
          <w:sz w:val="32"/>
          <w:szCs w:val="32"/>
        </w:rPr>
      </w:pPr>
    </w:p>
    <w:p w14:paraId="41ACA787" w14:textId="2733A491" w:rsidR="00E77C17" w:rsidRPr="00C97795" w:rsidRDefault="00A851F4" w:rsidP="00906425">
      <w:pPr>
        <w:ind w:left="-450"/>
        <w:jc w:val="center"/>
        <w:rPr>
          <w:rFonts w:ascii="Candara" w:hAnsi="Candara"/>
          <w:b/>
          <w:bCs/>
          <w:color w:val="4F6228" w:themeColor="accent3" w:themeShade="80"/>
          <w:sz w:val="32"/>
          <w:szCs w:val="32"/>
        </w:rPr>
      </w:pPr>
      <w:r w:rsidRPr="00C97795">
        <w:rPr>
          <w:rFonts w:ascii="Candara" w:hAnsi="Candara"/>
          <w:b/>
          <w:bCs/>
          <w:color w:val="4F6228" w:themeColor="accent3" w:themeShade="80"/>
          <w:sz w:val="32"/>
          <w:szCs w:val="32"/>
        </w:rPr>
        <w:t>STATE</w:t>
      </w:r>
      <w:r w:rsidR="008C691C">
        <w:rPr>
          <w:rFonts w:ascii="Candara" w:hAnsi="Candara"/>
          <w:b/>
          <w:bCs/>
          <w:color w:val="4F6228" w:themeColor="accent3" w:themeShade="80"/>
          <w:sz w:val="32"/>
          <w:szCs w:val="32"/>
        </w:rPr>
        <w:t>S</w:t>
      </w:r>
      <w:r w:rsidRPr="00C97795">
        <w:rPr>
          <w:rFonts w:ascii="Candara" w:hAnsi="Candara"/>
          <w:b/>
          <w:bCs/>
          <w:color w:val="4F6228" w:themeColor="accent3" w:themeShade="80"/>
          <w:sz w:val="32"/>
          <w:szCs w:val="32"/>
        </w:rPr>
        <w:t xml:space="preserve"> FISCAL TRANSPARENCY</w:t>
      </w:r>
      <w:r w:rsidR="0009675D">
        <w:rPr>
          <w:rFonts w:ascii="Candara" w:hAnsi="Candara"/>
          <w:b/>
          <w:bCs/>
          <w:color w:val="4F6228" w:themeColor="accent3" w:themeShade="80"/>
          <w:sz w:val="32"/>
          <w:szCs w:val="32"/>
        </w:rPr>
        <w:t>,</w:t>
      </w:r>
      <w:r w:rsidRPr="00C97795">
        <w:rPr>
          <w:rFonts w:ascii="Candara" w:hAnsi="Candara"/>
          <w:b/>
          <w:bCs/>
          <w:color w:val="4F6228" w:themeColor="accent3" w:themeShade="80"/>
          <w:sz w:val="32"/>
          <w:szCs w:val="32"/>
        </w:rPr>
        <w:t xml:space="preserve"> </w:t>
      </w:r>
      <w:r w:rsidR="00241031" w:rsidRPr="00C97795">
        <w:rPr>
          <w:rFonts w:ascii="Candara" w:hAnsi="Candara"/>
          <w:b/>
          <w:bCs/>
          <w:color w:val="4F6228" w:themeColor="accent3" w:themeShade="80"/>
          <w:sz w:val="32"/>
          <w:szCs w:val="32"/>
        </w:rPr>
        <w:t>ACCOUNTABILITY AND SUSTAIN</w:t>
      </w:r>
      <w:r w:rsidR="00943C12" w:rsidRPr="00C97795">
        <w:rPr>
          <w:rFonts w:ascii="Candara" w:hAnsi="Candara"/>
          <w:b/>
          <w:bCs/>
          <w:color w:val="4F6228" w:themeColor="accent3" w:themeShade="80"/>
          <w:sz w:val="32"/>
          <w:szCs w:val="32"/>
        </w:rPr>
        <w:t>A</w:t>
      </w:r>
      <w:r w:rsidR="00241031" w:rsidRPr="00C97795">
        <w:rPr>
          <w:rFonts w:ascii="Candara" w:hAnsi="Candara"/>
          <w:b/>
          <w:bCs/>
          <w:color w:val="4F6228" w:themeColor="accent3" w:themeShade="80"/>
          <w:sz w:val="32"/>
          <w:szCs w:val="32"/>
        </w:rPr>
        <w:t>BILITY (SFTAS)</w:t>
      </w:r>
      <w:r w:rsidR="00E77C17" w:rsidRPr="00C97795">
        <w:rPr>
          <w:rFonts w:ascii="Candara" w:hAnsi="Candara"/>
          <w:b/>
          <w:bCs/>
          <w:color w:val="4F6228" w:themeColor="accent3" w:themeShade="80"/>
          <w:sz w:val="32"/>
          <w:szCs w:val="32"/>
        </w:rPr>
        <w:t xml:space="preserve"> </w:t>
      </w:r>
    </w:p>
    <w:p w14:paraId="583481C3" w14:textId="48FA3413" w:rsidR="00A851F4" w:rsidRPr="00C97795" w:rsidRDefault="00E77C17" w:rsidP="00906425">
      <w:pPr>
        <w:ind w:left="-450"/>
        <w:jc w:val="center"/>
        <w:rPr>
          <w:rFonts w:ascii="Candara" w:hAnsi="Candara"/>
          <w:b/>
          <w:bCs/>
          <w:color w:val="4F6228" w:themeColor="accent3" w:themeShade="80"/>
          <w:sz w:val="32"/>
          <w:szCs w:val="32"/>
        </w:rPr>
      </w:pPr>
      <w:r w:rsidRPr="00C97795">
        <w:rPr>
          <w:rFonts w:ascii="Candara" w:hAnsi="Candara"/>
          <w:b/>
          <w:bCs/>
          <w:color w:val="4F6228" w:themeColor="accent3" w:themeShade="80"/>
          <w:sz w:val="32"/>
          <w:szCs w:val="32"/>
        </w:rPr>
        <w:t>PROGRAM FOR RESULTS</w:t>
      </w:r>
    </w:p>
    <w:p w14:paraId="0B7DEBAD" w14:textId="77777777" w:rsidR="00241031" w:rsidRPr="00C97795" w:rsidRDefault="00241031" w:rsidP="00906425">
      <w:pPr>
        <w:jc w:val="center"/>
        <w:rPr>
          <w:rFonts w:ascii="Candara" w:hAnsi="Candara"/>
          <w:b/>
          <w:bCs/>
          <w:sz w:val="32"/>
          <w:szCs w:val="32"/>
        </w:rPr>
      </w:pPr>
    </w:p>
    <w:p w14:paraId="58096C7A" w14:textId="77777777" w:rsidR="00133C6A" w:rsidRPr="00C97795" w:rsidRDefault="00241031" w:rsidP="00241031">
      <w:pPr>
        <w:spacing w:line="480" w:lineRule="auto"/>
        <w:jc w:val="center"/>
        <w:rPr>
          <w:rFonts w:ascii="Candara" w:hAnsi="Candara"/>
          <w:b/>
          <w:bCs/>
          <w:sz w:val="32"/>
          <w:szCs w:val="32"/>
        </w:rPr>
      </w:pPr>
      <w:r w:rsidRPr="00C97795">
        <w:rPr>
          <w:rFonts w:ascii="Candara" w:hAnsi="Candara"/>
          <w:b/>
          <w:bCs/>
          <w:sz w:val="32"/>
          <w:szCs w:val="32"/>
        </w:rPr>
        <w:t xml:space="preserve">OVERVIEW OF TOOLKIT </w:t>
      </w:r>
    </w:p>
    <w:p w14:paraId="55297142" w14:textId="77777777" w:rsidR="00133C6A" w:rsidRPr="00C97795" w:rsidRDefault="00241031" w:rsidP="00241031">
      <w:pPr>
        <w:spacing w:line="480" w:lineRule="auto"/>
        <w:jc w:val="center"/>
        <w:rPr>
          <w:rFonts w:ascii="Candara" w:hAnsi="Candara"/>
          <w:b/>
          <w:bCs/>
          <w:sz w:val="32"/>
          <w:szCs w:val="32"/>
        </w:rPr>
      </w:pPr>
      <w:r w:rsidRPr="00C97795">
        <w:rPr>
          <w:rFonts w:ascii="Candara" w:hAnsi="Candara"/>
          <w:b/>
          <w:bCs/>
          <w:sz w:val="32"/>
          <w:szCs w:val="32"/>
        </w:rPr>
        <w:t xml:space="preserve">ON </w:t>
      </w:r>
    </w:p>
    <w:p w14:paraId="06FC20A4" w14:textId="674FEC75" w:rsidR="00241031" w:rsidRPr="00C97795" w:rsidRDefault="0060638A" w:rsidP="00906425">
      <w:pPr>
        <w:spacing w:line="480" w:lineRule="auto"/>
        <w:jc w:val="center"/>
        <w:rPr>
          <w:rFonts w:ascii="Candara" w:hAnsi="Candara"/>
          <w:b/>
          <w:bCs/>
          <w:sz w:val="32"/>
          <w:szCs w:val="32"/>
        </w:rPr>
      </w:pPr>
      <w:r w:rsidRPr="00C97795">
        <w:rPr>
          <w:rFonts w:ascii="Candara" w:hAnsi="Candara"/>
          <w:b/>
          <w:bCs/>
          <w:sz w:val="32"/>
          <w:szCs w:val="32"/>
        </w:rPr>
        <w:t>BUDGET PERFORMANCE REPORTING</w:t>
      </w:r>
    </w:p>
    <w:p w14:paraId="5657D42B" w14:textId="0273504A" w:rsidR="00AA4140" w:rsidRPr="00C97795" w:rsidRDefault="00AA4140" w:rsidP="00906425">
      <w:pPr>
        <w:spacing w:line="480" w:lineRule="auto"/>
        <w:jc w:val="center"/>
        <w:rPr>
          <w:rFonts w:ascii="Candara" w:hAnsi="Candara"/>
          <w:b/>
          <w:bCs/>
          <w:sz w:val="32"/>
          <w:szCs w:val="32"/>
        </w:rPr>
      </w:pPr>
    </w:p>
    <w:p w14:paraId="1CDBD21E" w14:textId="38189B53" w:rsidR="00AA4140" w:rsidRPr="00C97795" w:rsidRDefault="00AA4140" w:rsidP="00906425">
      <w:pPr>
        <w:spacing w:line="480" w:lineRule="auto"/>
        <w:jc w:val="center"/>
        <w:rPr>
          <w:rFonts w:ascii="Candara" w:hAnsi="Candara"/>
          <w:b/>
          <w:bCs/>
          <w:sz w:val="32"/>
          <w:szCs w:val="32"/>
        </w:rPr>
      </w:pPr>
    </w:p>
    <w:p w14:paraId="230B8224" w14:textId="0B8C6165" w:rsidR="00AA4140" w:rsidRPr="00C97795" w:rsidRDefault="00AA4140" w:rsidP="00906425">
      <w:pPr>
        <w:spacing w:line="480" w:lineRule="auto"/>
        <w:jc w:val="center"/>
        <w:rPr>
          <w:rFonts w:ascii="Candara" w:hAnsi="Candara"/>
          <w:b/>
          <w:bCs/>
          <w:sz w:val="32"/>
          <w:szCs w:val="32"/>
        </w:rPr>
      </w:pPr>
    </w:p>
    <w:p w14:paraId="238109A7" w14:textId="285C1AB8" w:rsidR="00AA4140" w:rsidRPr="00C97795" w:rsidRDefault="00AA4140" w:rsidP="00906425">
      <w:pPr>
        <w:spacing w:line="480" w:lineRule="auto"/>
        <w:jc w:val="center"/>
        <w:rPr>
          <w:rFonts w:ascii="Candara" w:hAnsi="Candara"/>
          <w:b/>
          <w:bCs/>
          <w:sz w:val="32"/>
          <w:szCs w:val="32"/>
        </w:rPr>
      </w:pPr>
    </w:p>
    <w:p w14:paraId="7079D085" w14:textId="0C4169B1" w:rsidR="00AA4140" w:rsidRPr="00C97795" w:rsidRDefault="00AA4140" w:rsidP="00906425">
      <w:pPr>
        <w:spacing w:line="480" w:lineRule="auto"/>
        <w:jc w:val="center"/>
        <w:rPr>
          <w:rFonts w:ascii="Candara" w:hAnsi="Candara"/>
          <w:b/>
          <w:bCs/>
          <w:sz w:val="32"/>
          <w:szCs w:val="32"/>
        </w:rPr>
      </w:pPr>
    </w:p>
    <w:p w14:paraId="44806A04" w14:textId="0D6FF692" w:rsidR="00AA4140" w:rsidRPr="00C97795" w:rsidRDefault="00AA4140" w:rsidP="00906425">
      <w:pPr>
        <w:spacing w:line="480" w:lineRule="auto"/>
        <w:jc w:val="center"/>
        <w:rPr>
          <w:rFonts w:ascii="Candara" w:hAnsi="Candara"/>
          <w:b/>
          <w:bCs/>
          <w:sz w:val="32"/>
          <w:szCs w:val="32"/>
        </w:rPr>
      </w:pPr>
    </w:p>
    <w:p w14:paraId="1B52EDB9" w14:textId="57768BE7" w:rsidR="00AA4140" w:rsidRPr="00C97795" w:rsidRDefault="00AA4140" w:rsidP="00906425">
      <w:pPr>
        <w:spacing w:line="480" w:lineRule="auto"/>
        <w:jc w:val="center"/>
        <w:rPr>
          <w:rFonts w:ascii="Candara" w:hAnsi="Candara"/>
          <w:b/>
          <w:bCs/>
          <w:sz w:val="32"/>
          <w:szCs w:val="32"/>
        </w:rPr>
      </w:pPr>
    </w:p>
    <w:p w14:paraId="64CAF449" w14:textId="574490FF" w:rsidR="00E8380B" w:rsidRPr="00D633B5" w:rsidRDefault="00A41641" w:rsidP="00A41641">
      <w:pPr>
        <w:pStyle w:val="Heading1"/>
        <w:ind w:left="709" w:hanging="709"/>
        <w:rPr>
          <w:rFonts w:ascii="Candara" w:hAnsi="Candara"/>
        </w:rPr>
      </w:pPr>
      <w:r w:rsidRPr="00D633B5">
        <w:rPr>
          <w:rFonts w:ascii="Candara" w:hAnsi="Candara"/>
        </w:rPr>
        <w:lastRenderedPageBreak/>
        <w:t>1.</w:t>
      </w:r>
      <w:r w:rsidRPr="00D633B5">
        <w:rPr>
          <w:rFonts w:ascii="Candara" w:hAnsi="Candara"/>
        </w:rPr>
        <w:tab/>
      </w:r>
      <w:r w:rsidR="00456081" w:rsidRPr="00D633B5">
        <w:rPr>
          <w:rFonts w:ascii="Candara" w:hAnsi="Candara"/>
        </w:rPr>
        <w:t>Introduction</w:t>
      </w:r>
    </w:p>
    <w:p w14:paraId="1801599E" w14:textId="2CE37C8C" w:rsidR="00F37469" w:rsidRPr="00D633B5" w:rsidRDefault="00E8380B" w:rsidP="002F5577">
      <w:pPr>
        <w:pStyle w:val="NumberedParagraph"/>
        <w:rPr>
          <w:rFonts w:ascii="Candara" w:hAnsi="Candara"/>
        </w:rPr>
      </w:pPr>
      <w:r w:rsidRPr="00C97795">
        <w:rPr>
          <w:rFonts w:ascii="Candara" w:hAnsi="Candara"/>
        </w:rPr>
        <w:t>The Nigerian Governors</w:t>
      </w:r>
      <w:r w:rsidR="00AB7F36" w:rsidRPr="00C97795">
        <w:rPr>
          <w:rFonts w:ascii="Candara" w:hAnsi="Candara"/>
        </w:rPr>
        <w:t>’</w:t>
      </w:r>
      <w:r w:rsidRPr="00B62DD9">
        <w:rPr>
          <w:rFonts w:ascii="Candara" w:hAnsi="Candara"/>
        </w:rPr>
        <w:t xml:space="preserve"> Forum (</w:t>
      </w:r>
      <w:r w:rsidR="00BD7C80" w:rsidRPr="00C65FE7">
        <w:rPr>
          <w:rFonts w:ascii="Candara" w:hAnsi="Candara"/>
        </w:rPr>
        <w:t>NGF</w:t>
      </w:r>
      <w:r w:rsidRPr="00021F13">
        <w:rPr>
          <w:rFonts w:ascii="Candara" w:hAnsi="Candara"/>
        </w:rPr>
        <w:t>)</w:t>
      </w:r>
      <w:r w:rsidR="00BD7C80" w:rsidRPr="00021F13">
        <w:rPr>
          <w:rFonts w:ascii="Candara" w:hAnsi="Candara"/>
        </w:rPr>
        <w:t xml:space="preserve"> has develop</w:t>
      </w:r>
      <w:r w:rsidR="00BD6560" w:rsidRPr="00021F13">
        <w:rPr>
          <w:rFonts w:ascii="Candara" w:hAnsi="Candara"/>
        </w:rPr>
        <w:t>ed</w:t>
      </w:r>
      <w:r w:rsidR="00BD7C80" w:rsidRPr="00021F13">
        <w:rPr>
          <w:rFonts w:ascii="Candara" w:hAnsi="Candara"/>
        </w:rPr>
        <w:t xml:space="preserve"> toolkits to provide support to State Governments to help them achieve the </w:t>
      </w:r>
      <w:r w:rsidR="00AB7F36" w:rsidRPr="00D633B5">
        <w:rPr>
          <w:rFonts w:ascii="Candara" w:hAnsi="Candara"/>
        </w:rPr>
        <w:t>E</w:t>
      </w:r>
      <w:r w:rsidR="00BD7C80" w:rsidRPr="00D633B5">
        <w:rPr>
          <w:rFonts w:ascii="Candara" w:hAnsi="Candara"/>
        </w:rPr>
        <w:t xml:space="preserve">ligibility </w:t>
      </w:r>
      <w:r w:rsidR="00AB7F36" w:rsidRPr="00D633B5">
        <w:rPr>
          <w:rFonts w:ascii="Candara" w:hAnsi="Candara"/>
        </w:rPr>
        <w:t>C</w:t>
      </w:r>
      <w:r w:rsidR="00BD7C80" w:rsidRPr="00D633B5">
        <w:rPr>
          <w:rFonts w:ascii="Candara" w:hAnsi="Candara"/>
        </w:rPr>
        <w:t>riteria</w:t>
      </w:r>
      <w:r w:rsidR="00AB7F36" w:rsidRPr="00D633B5">
        <w:rPr>
          <w:rFonts w:ascii="Candara" w:hAnsi="Candara"/>
        </w:rPr>
        <w:t xml:space="preserve"> (EC)</w:t>
      </w:r>
      <w:r w:rsidR="00BD7C80" w:rsidRPr="00D633B5">
        <w:rPr>
          <w:rFonts w:ascii="Candara" w:hAnsi="Candara"/>
        </w:rPr>
        <w:t xml:space="preserve"> and </w:t>
      </w:r>
      <w:r w:rsidR="00F37469" w:rsidRPr="00D633B5">
        <w:rPr>
          <w:rFonts w:ascii="Candara" w:hAnsi="Candara"/>
        </w:rPr>
        <w:t>Disbursement Linked Indicators (</w:t>
      </w:r>
      <w:r w:rsidR="00BD7C80" w:rsidRPr="00D633B5">
        <w:rPr>
          <w:rFonts w:ascii="Candara" w:hAnsi="Candara"/>
        </w:rPr>
        <w:t>DLIs</w:t>
      </w:r>
      <w:r w:rsidR="00F37469" w:rsidRPr="00D633B5">
        <w:rPr>
          <w:rFonts w:ascii="Candara" w:hAnsi="Candara"/>
        </w:rPr>
        <w:t>)</w:t>
      </w:r>
      <w:r w:rsidR="00BD7C80" w:rsidRPr="00D633B5">
        <w:rPr>
          <w:rFonts w:ascii="Candara" w:hAnsi="Candara"/>
        </w:rPr>
        <w:t xml:space="preserve"> under the </w:t>
      </w:r>
      <w:r w:rsidR="00A04685" w:rsidRPr="00D633B5">
        <w:rPr>
          <w:rFonts w:ascii="Candara" w:hAnsi="Candara"/>
        </w:rPr>
        <w:t xml:space="preserve">World Bank </w:t>
      </w:r>
      <w:r w:rsidRPr="00D633B5">
        <w:rPr>
          <w:rFonts w:ascii="Candara" w:hAnsi="Candara"/>
        </w:rPr>
        <w:t>State</w:t>
      </w:r>
      <w:r w:rsidR="00885928">
        <w:rPr>
          <w:rFonts w:ascii="Candara" w:hAnsi="Candara"/>
        </w:rPr>
        <w:t>s</w:t>
      </w:r>
      <w:r w:rsidRPr="00D633B5">
        <w:rPr>
          <w:rFonts w:ascii="Candara" w:hAnsi="Candara"/>
        </w:rPr>
        <w:t xml:space="preserve"> Fiscal Transparency</w:t>
      </w:r>
      <w:r w:rsidR="00AB67FE">
        <w:rPr>
          <w:rFonts w:ascii="Candara" w:hAnsi="Candara"/>
        </w:rPr>
        <w:t>,</w:t>
      </w:r>
      <w:r w:rsidRPr="00D633B5">
        <w:rPr>
          <w:rFonts w:ascii="Candara" w:hAnsi="Candara"/>
        </w:rPr>
        <w:t xml:space="preserve"> Accountability and Sustainability</w:t>
      </w:r>
      <w:r w:rsidR="00AB7F36" w:rsidRPr="00D633B5">
        <w:rPr>
          <w:rFonts w:ascii="Candara" w:hAnsi="Candara"/>
        </w:rPr>
        <w:t xml:space="preserve"> (SFTAS</w:t>
      </w:r>
      <w:r w:rsidRPr="00D633B5">
        <w:rPr>
          <w:rFonts w:ascii="Candara" w:hAnsi="Candara"/>
        </w:rPr>
        <w:t xml:space="preserve">) </w:t>
      </w:r>
      <w:r w:rsidR="00BD7C80" w:rsidRPr="00D633B5">
        <w:rPr>
          <w:rFonts w:ascii="Candara" w:hAnsi="Candara"/>
        </w:rPr>
        <w:t>Program</w:t>
      </w:r>
      <w:r w:rsidR="00AB7F36" w:rsidRPr="00D633B5">
        <w:rPr>
          <w:rFonts w:ascii="Candara" w:hAnsi="Candara"/>
        </w:rPr>
        <w:t xml:space="preserve"> for Results</w:t>
      </w:r>
      <w:r w:rsidR="00BD7C80" w:rsidRPr="00D633B5">
        <w:rPr>
          <w:rFonts w:ascii="Candara" w:hAnsi="Candara"/>
        </w:rPr>
        <w:t xml:space="preserve">. </w:t>
      </w:r>
      <w:r w:rsidRPr="00D633B5">
        <w:rPr>
          <w:rFonts w:ascii="Candara" w:hAnsi="Candara"/>
        </w:rPr>
        <w:t xml:space="preserve"> </w:t>
      </w:r>
    </w:p>
    <w:p w14:paraId="523EC404" w14:textId="2A8789DF" w:rsidR="00BE30FA" w:rsidRPr="00D633B5" w:rsidRDefault="00E8380B" w:rsidP="002F5577">
      <w:pPr>
        <w:pStyle w:val="NumberedParagraph"/>
        <w:rPr>
          <w:rFonts w:ascii="Candara" w:hAnsi="Candara"/>
        </w:rPr>
      </w:pPr>
      <w:r w:rsidRPr="00D633B5">
        <w:rPr>
          <w:rFonts w:ascii="Candara" w:hAnsi="Candara"/>
        </w:rPr>
        <w:t>Th</w:t>
      </w:r>
      <w:r w:rsidR="00AB7F36" w:rsidRPr="00D633B5">
        <w:rPr>
          <w:rFonts w:ascii="Candara" w:hAnsi="Candara"/>
        </w:rPr>
        <w:t>is</w:t>
      </w:r>
      <w:r w:rsidRPr="00D633B5">
        <w:rPr>
          <w:rFonts w:ascii="Candara" w:hAnsi="Candara"/>
        </w:rPr>
        <w:t xml:space="preserve"> toolkit w</w:t>
      </w:r>
      <w:r w:rsidR="00AB7F36" w:rsidRPr="00D633B5">
        <w:rPr>
          <w:rFonts w:ascii="Candara" w:hAnsi="Candara"/>
        </w:rPr>
        <w:t>as</w:t>
      </w:r>
      <w:r w:rsidRPr="00D633B5">
        <w:rPr>
          <w:rFonts w:ascii="Candara" w:hAnsi="Candara"/>
        </w:rPr>
        <w:t xml:space="preserve"> prepared to support </w:t>
      </w:r>
      <w:r w:rsidR="00BE30FA" w:rsidRPr="00D633B5">
        <w:rPr>
          <w:rFonts w:ascii="Candara" w:hAnsi="Candara"/>
        </w:rPr>
        <w:t>effective delivery of th</w:t>
      </w:r>
      <w:r w:rsidRPr="00D633B5">
        <w:rPr>
          <w:rFonts w:ascii="Candara" w:hAnsi="Candara"/>
        </w:rPr>
        <w:t>e SFTAS T</w:t>
      </w:r>
      <w:r w:rsidR="00BE30FA" w:rsidRPr="00D633B5">
        <w:rPr>
          <w:rFonts w:ascii="Candara" w:hAnsi="Candara"/>
        </w:rPr>
        <w:t xml:space="preserve">echnical </w:t>
      </w:r>
      <w:r w:rsidRPr="00D633B5">
        <w:rPr>
          <w:rFonts w:ascii="Candara" w:hAnsi="Candara"/>
        </w:rPr>
        <w:t>A</w:t>
      </w:r>
      <w:r w:rsidR="00BE30FA" w:rsidRPr="00D633B5">
        <w:rPr>
          <w:rFonts w:ascii="Candara" w:hAnsi="Candara"/>
        </w:rPr>
        <w:t>ssistance</w:t>
      </w:r>
      <w:r w:rsidRPr="00D633B5">
        <w:rPr>
          <w:rFonts w:ascii="Candara" w:hAnsi="Candara"/>
        </w:rPr>
        <w:t xml:space="preserve"> (TA)</w:t>
      </w:r>
      <w:r w:rsidR="00BE30FA" w:rsidRPr="00D633B5">
        <w:rPr>
          <w:rFonts w:ascii="Candara" w:hAnsi="Candara"/>
        </w:rPr>
        <w:t xml:space="preserve"> </w:t>
      </w:r>
      <w:r w:rsidR="00AB7F36" w:rsidRPr="00D633B5">
        <w:rPr>
          <w:rFonts w:ascii="Candara" w:hAnsi="Candara"/>
        </w:rPr>
        <w:t xml:space="preserve">on </w:t>
      </w:r>
      <w:r w:rsidR="006B718F" w:rsidRPr="00D633B5">
        <w:rPr>
          <w:rFonts w:ascii="Candara" w:hAnsi="Candara"/>
        </w:rPr>
        <w:t>Budget performance Reporting</w:t>
      </w:r>
      <w:r w:rsidR="00AB7F36" w:rsidRPr="00D633B5">
        <w:rPr>
          <w:rFonts w:ascii="Candara" w:hAnsi="Candara"/>
        </w:rPr>
        <w:t>. The toolkit c</w:t>
      </w:r>
      <w:r w:rsidRPr="00D633B5">
        <w:rPr>
          <w:rFonts w:ascii="Candara" w:hAnsi="Candara"/>
        </w:rPr>
        <w:t>ontain</w:t>
      </w:r>
      <w:r w:rsidR="00AB7F36" w:rsidRPr="00D633B5">
        <w:rPr>
          <w:rFonts w:ascii="Candara" w:hAnsi="Candara"/>
        </w:rPr>
        <w:t>s</w:t>
      </w:r>
      <w:r w:rsidR="00BE30FA" w:rsidRPr="00D633B5">
        <w:rPr>
          <w:rFonts w:ascii="Candara" w:hAnsi="Candara"/>
        </w:rPr>
        <w:t xml:space="preserve"> </w:t>
      </w:r>
      <w:r w:rsidR="00BD7C80" w:rsidRPr="00D633B5">
        <w:rPr>
          <w:rFonts w:ascii="Candara" w:hAnsi="Candara"/>
        </w:rPr>
        <w:t>guidance notes (briefing and instruction notes),</w:t>
      </w:r>
      <w:r w:rsidR="005072B9" w:rsidRPr="00D633B5">
        <w:rPr>
          <w:rFonts w:ascii="Candara" w:hAnsi="Candara"/>
        </w:rPr>
        <w:t xml:space="preserve"> a</w:t>
      </w:r>
      <w:r w:rsidR="00BD7C80" w:rsidRPr="00D633B5">
        <w:rPr>
          <w:rFonts w:ascii="Candara" w:hAnsi="Candara"/>
        </w:rPr>
        <w:t xml:space="preserve"> diagnostic template, </w:t>
      </w:r>
      <w:r w:rsidR="00BE30FA" w:rsidRPr="00D633B5">
        <w:rPr>
          <w:rFonts w:ascii="Candara" w:hAnsi="Candara"/>
        </w:rPr>
        <w:t xml:space="preserve">manual and </w:t>
      </w:r>
      <w:r w:rsidR="00BD7C80" w:rsidRPr="00D633B5">
        <w:rPr>
          <w:rFonts w:ascii="Candara" w:hAnsi="Candara"/>
        </w:rPr>
        <w:t xml:space="preserve">excel-based </w:t>
      </w:r>
      <w:r w:rsidR="00BE30FA" w:rsidRPr="00D633B5">
        <w:rPr>
          <w:rFonts w:ascii="Candara" w:hAnsi="Candara"/>
        </w:rPr>
        <w:t>template</w:t>
      </w:r>
      <w:r w:rsidR="00BD7C80" w:rsidRPr="00D633B5">
        <w:rPr>
          <w:rFonts w:ascii="Candara" w:hAnsi="Candara"/>
        </w:rPr>
        <w:t xml:space="preserve"> models</w:t>
      </w:r>
      <w:r w:rsidR="00BE30FA" w:rsidRPr="00D633B5">
        <w:rPr>
          <w:rFonts w:ascii="Candara" w:hAnsi="Candara"/>
        </w:rPr>
        <w:t xml:space="preserve"> to aid and ease the domestication of key reforms</w:t>
      </w:r>
      <w:r w:rsidR="00AB7F36" w:rsidRPr="00D633B5">
        <w:rPr>
          <w:rFonts w:ascii="Candara" w:hAnsi="Candara"/>
        </w:rPr>
        <w:t>.</w:t>
      </w:r>
    </w:p>
    <w:p w14:paraId="4784432B" w14:textId="54CE397D" w:rsidR="004B24FC" w:rsidRPr="00D633B5" w:rsidRDefault="0014125C" w:rsidP="004B24FC">
      <w:pPr>
        <w:pStyle w:val="NumberedParagraph"/>
        <w:rPr>
          <w:rFonts w:ascii="Candara" w:hAnsi="Candara"/>
        </w:rPr>
      </w:pPr>
      <w:r w:rsidRPr="00D633B5">
        <w:rPr>
          <w:rFonts w:ascii="Candara" w:hAnsi="Candara"/>
        </w:rPr>
        <w:t xml:space="preserve">The objective of this </w:t>
      </w:r>
      <w:r w:rsidR="00C97795">
        <w:rPr>
          <w:rFonts w:ascii="Candara" w:hAnsi="Candara"/>
        </w:rPr>
        <w:t>t</w:t>
      </w:r>
      <w:r w:rsidRPr="00D633B5">
        <w:rPr>
          <w:rFonts w:ascii="Candara" w:hAnsi="Candara"/>
        </w:rPr>
        <w:t>oolkit is to</w:t>
      </w:r>
      <w:r w:rsidR="006B6D71" w:rsidRPr="00D633B5">
        <w:rPr>
          <w:rFonts w:ascii="Candara" w:hAnsi="Candara"/>
        </w:rPr>
        <w:t xml:space="preserve"> </w:t>
      </w:r>
      <w:r w:rsidR="0060638A" w:rsidRPr="00D633B5">
        <w:rPr>
          <w:rFonts w:ascii="Candara" w:hAnsi="Candara"/>
        </w:rPr>
        <w:t xml:space="preserve">provide </w:t>
      </w:r>
      <w:r w:rsidR="006B6D71" w:rsidRPr="00D633B5">
        <w:rPr>
          <w:rFonts w:ascii="Candara" w:hAnsi="Candara"/>
        </w:rPr>
        <w:t>States</w:t>
      </w:r>
      <w:r w:rsidRPr="00D633B5">
        <w:rPr>
          <w:rFonts w:ascii="Candara" w:hAnsi="Candara"/>
        </w:rPr>
        <w:t xml:space="preserve"> with </w:t>
      </w:r>
      <w:r w:rsidR="0060638A" w:rsidRPr="00D633B5">
        <w:rPr>
          <w:rFonts w:ascii="Candara" w:hAnsi="Candara"/>
        </w:rPr>
        <w:t xml:space="preserve">a comprehensive and consistent set of instruments/ tools which will support the development of high-quality budget performance reporting that help achieve the core principles of PFM, including transparency and decision making.  The tools will support the production of quarterly Budget Performance Reports in accordance with the templates laid out by FAAC (Federation Account Allocation Committee). </w:t>
      </w:r>
      <w:r w:rsidRPr="00D633B5">
        <w:rPr>
          <w:rFonts w:ascii="Candara" w:hAnsi="Candara"/>
        </w:rPr>
        <w:t>The</w:t>
      </w:r>
      <w:r w:rsidR="00A31CF4" w:rsidRPr="00D633B5">
        <w:rPr>
          <w:rFonts w:ascii="Candara" w:hAnsi="Candara"/>
        </w:rPr>
        <w:t xml:space="preserve"> </w:t>
      </w:r>
      <w:r w:rsidR="0060638A" w:rsidRPr="00D633B5">
        <w:rPr>
          <w:rFonts w:ascii="Candara" w:hAnsi="Candara"/>
        </w:rPr>
        <w:t xml:space="preserve">budget performance report </w:t>
      </w:r>
      <w:r w:rsidRPr="00D633B5">
        <w:rPr>
          <w:rFonts w:ascii="Candara" w:hAnsi="Candara"/>
        </w:rPr>
        <w:t xml:space="preserve">will in turn be part of the overall effort aimed at increasing fiscal transparency and accountability, which is a key result area </w:t>
      </w:r>
      <w:r w:rsidR="005072B9" w:rsidRPr="00D633B5">
        <w:rPr>
          <w:rFonts w:ascii="Candara" w:hAnsi="Candara"/>
        </w:rPr>
        <w:t xml:space="preserve">of </w:t>
      </w:r>
      <w:r w:rsidRPr="00D633B5">
        <w:rPr>
          <w:rFonts w:ascii="Candara" w:hAnsi="Candara"/>
        </w:rPr>
        <w:t xml:space="preserve">SFTAS. </w:t>
      </w:r>
    </w:p>
    <w:p w14:paraId="65739B37" w14:textId="5F5ED9FC" w:rsidR="004B24FC" w:rsidRPr="00C97795" w:rsidRDefault="004B24FC" w:rsidP="009227EF">
      <w:pPr>
        <w:pStyle w:val="NumberedParagraph"/>
        <w:rPr>
          <w:rFonts w:ascii="Candara" w:hAnsi="Candara"/>
        </w:rPr>
      </w:pPr>
      <w:r w:rsidRPr="00D633B5">
        <w:rPr>
          <w:rFonts w:ascii="Candara" w:hAnsi="Candara"/>
        </w:rPr>
        <w:t xml:space="preserve">The tools in this toolkit have been designed to be consistent and to interface with the tools in other toolkits, particularly those related to the Chart of Accounts, and the Annual Budget formulation and compilation. The aim of the </w:t>
      </w:r>
      <w:r w:rsidR="00AB67FE">
        <w:rPr>
          <w:rFonts w:ascii="Candara" w:hAnsi="Candara"/>
        </w:rPr>
        <w:t>t</w:t>
      </w:r>
      <w:r w:rsidRPr="00D633B5">
        <w:rPr>
          <w:rFonts w:ascii="Candara" w:hAnsi="Candara"/>
        </w:rPr>
        <w:t>oolkit is to facilitate two key features of a strong PFM system:</w:t>
      </w:r>
    </w:p>
    <w:p w14:paraId="1F167D9A" w14:textId="77777777" w:rsidR="004B24FC" w:rsidRPr="00D633B5" w:rsidRDefault="004B24FC" w:rsidP="004B24FC">
      <w:pPr>
        <w:pStyle w:val="ListBullet"/>
        <w:rPr>
          <w:rFonts w:ascii="Candara" w:hAnsi="Candara"/>
        </w:rPr>
      </w:pPr>
      <w:r w:rsidRPr="00D633B5">
        <w:rPr>
          <w:rFonts w:ascii="Candara" w:hAnsi="Candara"/>
        </w:rPr>
        <w:t>Management Information for Better Decision Making; and</w:t>
      </w:r>
    </w:p>
    <w:p w14:paraId="3CDD30A5" w14:textId="77777777" w:rsidR="004B24FC" w:rsidRPr="00D633B5" w:rsidRDefault="004B24FC" w:rsidP="004B24FC">
      <w:pPr>
        <w:pStyle w:val="ListBullet"/>
        <w:rPr>
          <w:rFonts w:ascii="Candara" w:hAnsi="Candara"/>
        </w:rPr>
      </w:pPr>
      <w:r w:rsidRPr="00D633B5">
        <w:rPr>
          <w:rFonts w:ascii="Candara" w:hAnsi="Candara"/>
        </w:rPr>
        <w:t xml:space="preserve">Transparency and Accountability. </w:t>
      </w:r>
    </w:p>
    <w:p w14:paraId="0CA01086" w14:textId="056D8B3E" w:rsidR="004B24FC" w:rsidRPr="00D633B5" w:rsidRDefault="004B24FC" w:rsidP="009227EF">
      <w:pPr>
        <w:pStyle w:val="NumberedParagraph"/>
        <w:rPr>
          <w:rFonts w:ascii="Candara" w:hAnsi="Candara"/>
        </w:rPr>
      </w:pPr>
      <w:r w:rsidRPr="00D633B5">
        <w:rPr>
          <w:rFonts w:ascii="Candara" w:hAnsi="Candara"/>
        </w:rPr>
        <w:t xml:space="preserve">This </w:t>
      </w:r>
      <w:r w:rsidR="00C97795">
        <w:rPr>
          <w:rFonts w:ascii="Candara" w:hAnsi="Candara"/>
        </w:rPr>
        <w:t>t</w:t>
      </w:r>
      <w:r w:rsidRPr="00D633B5">
        <w:rPr>
          <w:rFonts w:ascii="Candara" w:hAnsi="Candara"/>
        </w:rPr>
        <w:t xml:space="preserve">oolkit should be used in conjunction with the following </w:t>
      </w:r>
      <w:r w:rsidR="00C97795">
        <w:rPr>
          <w:rFonts w:ascii="Candara" w:hAnsi="Candara"/>
        </w:rPr>
        <w:t>t</w:t>
      </w:r>
      <w:r w:rsidRPr="00D633B5">
        <w:rPr>
          <w:rFonts w:ascii="Candara" w:hAnsi="Candara"/>
        </w:rPr>
        <w:t>oolkits:</w:t>
      </w:r>
    </w:p>
    <w:p w14:paraId="73A68B57" w14:textId="1EE6CDF5" w:rsidR="004B24FC" w:rsidRPr="00D633B5" w:rsidRDefault="00AB67FE" w:rsidP="004B24FC">
      <w:pPr>
        <w:pStyle w:val="ListBullet"/>
        <w:rPr>
          <w:rFonts w:ascii="Candara" w:hAnsi="Candara"/>
        </w:rPr>
      </w:pPr>
      <w:r>
        <w:rPr>
          <w:rFonts w:ascii="Candara" w:hAnsi="Candara" w:cs="Calibri"/>
          <w:b/>
          <w:bCs/>
          <w:color w:val="000000"/>
        </w:rPr>
        <w:t xml:space="preserve">Domesticating </w:t>
      </w:r>
      <w:r w:rsidR="004B24FC" w:rsidRPr="00D633B5">
        <w:rPr>
          <w:rFonts w:ascii="Candara" w:hAnsi="Candara" w:cs="Calibri"/>
          <w:b/>
          <w:bCs/>
          <w:color w:val="000000"/>
        </w:rPr>
        <w:t xml:space="preserve">NCOA (this is a necessity for the use of the </w:t>
      </w:r>
      <w:r w:rsidR="004B24FC" w:rsidRPr="00D633B5">
        <w:rPr>
          <w:rFonts w:ascii="Candara" w:hAnsi="Candara"/>
          <w:b/>
          <w:bCs/>
        </w:rPr>
        <w:t>Budget Performance Reporting MS Excel template)</w:t>
      </w:r>
      <w:r w:rsidR="004B24FC" w:rsidRPr="00D633B5">
        <w:rPr>
          <w:rFonts w:ascii="Candara" w:hAnsi="Candara"/>
        </w:rPr>
        <w:t xml:space="preserve"> – this toolkit covers all six segments of the NCOA as approved by the Federation Account Allocation Committee (FAAC) COA/Budget classification system – only two are required for the Budget Performance Reports – Economic and Administrative; </w:t>
      </w:r>
    </w:p>
    <w:p w14:paraId="573C7E51" w14:textId="77777777" w:rsidR="004B24FC" w:rsidRPr="00D633B5" w:rsidRDefault="004B24FC" w:rsidP="004B24FC">
      <w:pPr>
        <w:pStyle w:val="ListBullet"/>
        <w:rPr>
          <w:rFonts w:ascii="Candara" w:hAnsi="Candara"/>
        </w:rPr>
      </w:pPr>
      <w:r w:rsidRPr="00D633B5">
        <w:rPr>
          <w:rFonts w:ascii="Candara" w:hAnsi="Candara"/>
          <w:b/>
          <w:bCs/>
        </w:rPr>
        <w:t>Fiscal Strategy Paper and Annual Budget</w:t>
      </w:r>
      <w:r w:rsidRPr="00D633B5">
        <w:rPr>
          <w:rFonts w:ascii="Candara" w:hAnsi="Candara"/>
        </w:rPr>
        <w:t xml:space="preserve"> – the Budget Performance Reporting MS Excel templates need to be populated with the Annual Budget as well as actuals. The Annual Budget can be exported from the Budget Consolidation templates in this toolkit. </w:t>
      </w:r>
    </w:p>
    <w:p w14:paraId="46C6D10D" w14:textId="77777777" w:rsidR="004B24FC" w:rsidRPr="00D633B5" w:rsidRDefault="004B24FC" w:rsidP="004B24FC">
      <w:pPr>
        <w:pStyle w:val="ListBullet"/>
        <w:rPr>
          <w:rFonts w:ascii="Candara" w:hAnsi="Candara"/>
        </w:rPr>
      </w:pPr>
      <w:r w:rsidRPr="00D633B5">
        <w:rPr>
          <w:rFonts w:ascii="Candara" w:hAnsi="Candara"/>
          <w:b/>
          <w:bCs/>
        </w:rPr>
        <w:t>Preparing MTEF</w:t>
      </w:r>
      <w:r w:rsidRPr="00D633B5">
        <w:rPr>
          <w:rFonts w:ascii="Candara" w:hAnsi="Candara"/>
        </w:rPr>
        <w:t xml:space="preserve"> - data from budget performance reports can be used as part of the fiscal forecasting and envelope setting.</w:t>
      </w:r>
    </w:p>
    <w:p w14:paraId="544EC194" w14:textId="5855457B" w:rsidR="004B24FC" w:rsidRPr="00D633B5" w:rsidRDefault="004B24FC" w:rsidP="004B24FC">
      <w:pPr>
        <w:pStyle w:val="ListBullet"/>
        <w:rPr>
          <w:rFonts w:ascii="Candara" w:hAnsi="Candara"/>
        </w:rPr>
      </w:pPr>
      <w:r w:rsidRPr="00DC3D3B">
        <w:rPr>
          <w:rFonts w:ascii="Candara" w:hAnsi="Candara"/>
          <w:b/>
          <w:bCs/>
        </w:rPr>
        <w:t>I</w:t>
      </w:r>
      <w:r w:rsidR="00C97795" w:rsidRPr="00DC3D3B">
        <w:rPr>
          <w:rFonts w:ascii="Candara" w:hAnsi="Candara"/>
          <w:b/>
          <w:bCs/>
        </w:rPr>
        <w:t xml:space="preserve">ntegrated </w:t>
      </w:r>
      <w:r w:rsidRPr="00DC3D3B">
        <w:rPr>
          <w:rFonts w:ascii="Candara" w:hAnsi="Candara"/>
          <w:b/>
          <w:bCs/>
        </w:rPr>
        <w:t>F</w:t>
      </w:r>
      <w:r w:rsidR="00C97795" w:rsidRPr="00DC3D3B">
        <w:rPr>
          <w:rFonts w:ascii="Candara" w:hAnsi="Candara"/>
          <w:b/>
          <w:bCs/>
        </w:rPr>
        <w:t xml:space="preserve">inancial </w:t>
      </w:r>
      <w:r w:rsidRPr="00DC3D3B">
        <w:rPr>
          <w:rFonts w:ascii="Candara" w:hAnsi="Candara"/>
          <w:b/>
          <w:bCs/>
        </w:rPr>
        <w:t>M</w:t>
      </w:r>
      <w:r w:rsidR="00C97795" w:rsidRPr="00DC3D3B">
        <w:rPr>
          <w:rFonts w:ascii="Candara" w:hAnsi="Candara"/>
          <w:b/>
          <w:bCs/>
        </w:rPr>
        <w:t xml:space="preserve">anagement </w:t>
      </w:r>
      <w:r w:rsidRPr="00DC3D3B">
        <w:rPr>
          <w:rFonts w:ascii="Candara" w:hAnsi="Candara"/>
          <w:b/>
          <w:bCs/>
        </w:rPr>
        <w:t>I</w:t>
      </w:r>
      <w:r w:rsidR="00C97795" w:rsidRPr="00DC3D3B">
        <w:rPr>
          <w:rFonts w:ascii="Candara" w:hAnsi="Candara"/>
          <w:b/>
          <w:bCs/>
        </w:rPr>
        <w:t xml:space="preserve">nformation </w:t>
      </w:r>
      <w:r w:rsidRPr="00DC3D3B">
        <w:rPr>
          <w:rFonts w:ascii="Candara" w:hAnsi="Candara"/>
          <w:b/>
          <w:bCs/>
        </w:rPr>
        <w:t>S</w:t>
      </w:r>
      <w:r w:rsidR="00C97795" w:rsidRPr="00DC3D3B">
        <w:rPr>
          <w:rFonts w:ascii="Candara" w:hAnsi="Candara"/>
          <w:b/>
          <w:bCs/>
        </w:rPr>
        <w:t>ystem (IFMIS)</w:t>
      </w:r>
      <w:r w:rsidRPr="00D633B5">
        <w:rPr>
          <w:rFonts w:ascii="Candara" w:hAnsi="Candara"/>
        </w:rPr>
        <w:t xml:space="preserve"> – The S</w:t>
      </w:r>
      <w:r w:rsidR="00B62DD9">
        <w:rPr>
          <w:rFonts w:ascii="Candara" w:hAnsi="Candara"/>
        </w:rPr>
        <w:t xml:space="preserve">tate </w:t>
      </w:r>
      <w:r w:rsidRPr="00D633B5">
        <w:rPr>
          <w:rFonts w:ascii="Candara" w:hAnsi="Candara"/>
        </w:rPr>
        <w:t>IFMIS should provide the actual expenditure and revenue information required for budget performance reporting.</w:t>
      </w:r>
    </w:p>
    <w:p w14:paraId="4ACAE31E" w14:textId="55C8C880" w:rsidR="00C65FE7" w:rsidRPr="00C65FE7" w:rsidRDefault="00A45F7E" w:rsidP="003822C6">
      <w:pPr>
        <w:pStyle w:val="NumberedParagraph"/>
        <w:rPr>
          <w:rFonts w:ascii="Candara" w:hAnsi="Candara"/>
          <w:b/>
          <w:bCs/>
        </w:rPr>
      </w:pPr>
      <w:r w:rsidRPr="00C97795">
        <w:rPr>
          <w:rFonts w:ascii="Candara" w:hAnsi="Candara"/>
        </w:rPr>
        <w:t>Each tool has been developed after several years of ‘road-testing’ and improvement at Federal and State levels</w:t>
      </w:r>
      <w:r w:rsidR="005072B9" w:rsidRPr="00C65FE7">
        <w:rPr>
          <w:rFonts w:ascii="Candara" w:hAnsi="Candara"/>
        </w:rPr>
        <w:t>,</w:t>
      </w:r>
      <w:r w:rsidRPr="00021F13">
        <w:rPr>
          <w:rFonts w:ascii="Candara" w:hAnsi="Candara"/>
        </w:rPr>
        <w:t xml:space="preserve"> meaning that as well as providing technical rigour</w:t>
      </w:r>
      <w:r w:rsidR="005072B9" w:rsidRPr="00021F13">
        <w:rPr>
          <w:rFonts w:ascii="Candara" w:hAnsi="Candara"/>
        </w:rPr>
        <w:t>,</w:t>
      </w:r>
      <w:r w:rsidRPr="00021F13">
        <w:rPr>
          <w:rFonts w:ascii="Candara" w:hAnsi="Candara"/>
        </w:rPr>
        <w:t xml:space="preserve"> the tools are designed to be both practical and easy to use. </w:t>
      </w:r>
      <w:r w:rsidR="00164D59" w:rsidRPr="00021F13">
        <w:rPr>
          <w:rFonts w:ascii="Candara" w:hAnsi="Candara"/>
        </w:rPr>
        <w:t>The MS Excel templates are not Off-the-shelf software – they require careful domestication in each State</w:t>
      </w:r>
      <w:r w:rsidR="00164D59" w:rsidRPr="00D633B5">
        <w:rPr>
          <w:rFonts w:ascii="Candara" w:hAnsi="Candara"/>
        </w:rPr>
        <w:t xml:space="preserve"> which itself requires high</w:t>
      </w:r>
      <w:r w:rsidR="00DC3D3B">
        <w:rPr>
          <w:rFonts w:ascii="Candara" w:hAnsi="Candara"/>
        </w:rPr>
        <w:t>-</w:t>
      </w:r>
      <w:r w:rsidR="00164D59" w:rsidRPr="00D633B5">
        <w:rPr>
          <w:rFonts w:ascii="Candara" w:hAnsi="Candara"/>
        </w:rPr>
        <w:t>level proficiency in MS Excel. If the models are not properly domesticated and tested, they may yield erroneous results and outputs.  States should seek support from the NGF in this regard.</w:t>
      </w:r>
      <w:r w:rsidR="00164D59" w:rsidRPr="00D633B5">
        <w:rPr>
          <w:rFonts w:ascii="Candara" w:hAnsi="Candara"/>
          <w:b/>
          <w:bCs/>
        </w:rPr>
        <w:t xml:space="preserve"> </w:t>
      </w:r>
    </w:p>
    <w:p w14:paraId="35F83961" w14:textId="12C0B630" w:rsidR="00A45F7E" w:rsidRPr="00D633B5" w:rsidRDefault="00A45F7E" w:rsidP="00D633B5">
      <w:pPr>
        <w:pStyle w:val="NumberedParagraph"/>
        <w:rPr>
          <w:rFonts w:ascii="Candara" w:hAnsi="Candara"/>
          <w:b/>
          <w:bCs/>
        </w:rPr>
      </w:pPr>
      <w:r w:rsidRPr="00021F13">
        <w:rPr>
          <w:rFonts w:ascii="Candara" w:hAnsi="Candara"/>
        </w:rPr>
        <w:t xml:space="preserve">As mentioned, the </w:t>
      </w:r>
      <w:r w:rsidR="00021F13">
        <w:rPr>
          <w:rFonts w:ascii="Candara" w:hAnsi="Candara"/>
        </w:rPr>
        <w:t>t</w:t>
      </w:r>
      <w:r w:rsidRPr="00D633B5">
        <w:rPr>
          <w:rFonts w:ascii="Candara" w:hAnsi="Candara"/>
        </w:rPr>
        <w:t xml:space="preserve">oolkit is especially important in helping to underpin efforts aimed at strengthening fiscal transparency and accountability as part of the overall SFTAS programme. It will assist </w:t>
      </w:r>
      <w:r w:rsidR="007E1DF1" w:rsidRPr="00D633B5">
        <w:rPr>
          <w:rFonts w:ascii="Candara" w:hAnsi="Candara"/>
        </w:rPr>
        <w:t xml:space="preserve">States </w:t>
      </w:r>
      <w:r w:rsidRPr="00D633B5">
        <w:rPr>
          <w:rFonts w:ascii="Candara" w:hAnsi="Candara"/>
        </w:rPr>
        <w:t xml:space="preserve">in </w:t>
      </w:r>
      <w:r w:rsidR="00375110" w:rsidRPr="00D633B5">
        <w:rPr>
          <w:rFonts w:ascii="Candara" w:hAnsi="Candara"/>
        </w:rPr>
        <w:t xml:space="preserve">accessing </w:t>
      </w:r>
      <w:r w:rsidRPr="00D633B5">
        <w:rPr>
          <w:rFonts w:ascii="Candara" w:hAnsi="Candara"/>
        </w:rPr>
        <w:t xml:space="preserve">SFTAS </w:t>
      </w:r>
      <w:r w:rsidR="00AE7DE2" w:rsidRPr="00D633B5">
        <w:rPr>
          <w:rFonts w:ascii="Candara" w:hAnsi="Candara"/>
        </w:rPr>
        <w:t>performance-based</w:t>
      </w:r>
      <w:r w:rsidR="00164D59" w:rsidRPr="00D633B5">
        <w:rPr>
          <w:rFonts w:ascii="Candara" w:hAnsi="Candara"/>
        </w:rPr>
        <w:t xml:space="preserve"> </w:t>
      </w:r>
      <w:r w:rsidRPr="00D633B5">
        <w:rPr>
          <w:rFonts w:ascii="Candara" w:hAnsi="Candara"/>
        </w:rPr>
        <w:t xml:space="preserve">grants linked to the achievement of the </w:t>
      </w:r>
      <w:r w:rsidR="007E1DF1" w:rsidRPr="00D633B5">
        <w:rPr>
          <w:rFonts w:ascii="Candara" w:hAnsi="Candara"/>
        </w:rPr>
        <w:t>program’s</w:t>
      </w:r>
      <w:r w:rsidRPr="00D633B5">
        <w:rPr>
          <w:rFonts w:ascii="Candara" w:hAnsi="Candara"/>
        </w:rPr>
        <w:t xml:space="preserve"> Disbursement Linked Indicator</w:t>
      </w:r>
      <w:r w:rsidR="003A57A7" w:rsidRPr="00D633B5">
        <w:rPr>
          <w:rFonts w:ascii="Candara" w:hAnsi="Candara"/>
        </w:rPr>
        <w:t xml:space="preserve"> (DLI)</w:t>
      </w:r>
      <w:r w:rsidRPr="00D633B5">
        <w:rPr>
          <w:rFonts w:ascii="Candara" w:hAnsi="Candara"/>
        </w:rPr>
        <w:t xml:space="preserve"> 1 ‘Improved financial reporting and budget reliability’.</w:t>
      </w:r>
    </w:p>
    <w:p w14:paraId="4F71962F" w14:textId="77777777" w:rsidR="004B24FC" w:rsidRPr="00D633B5" w:rsidRDefault="004B24FC" w:rsidP="004B24FC">
      <w:pPr>
        <w:pStyle w:val="NumberedParagraph"/>
        <w:numPr>
          <w:ilvl w:val="0"/>
          <w:numId w:val="10"/>
        </w:numPr>
        <w:rPr>
          <w:rFonts w:ascii="Candara" w:hAnsi="Candara"/>
        </w:rPr>
      </w:pPr>
      <w:r w:rsidRPr="00D633B5">
        <w:rPr>
          <w:rFonts w:ascii="Candara" w:hAnsi="Candara"/>
          <w:b/>
          <w:bCs/>
        </w:rPr>
        <w:t>Despite the COVID-19 outbreak, related restrictions in movements which have limited the extent to which NGF can mobilise TA to States, and understanding the urgency for fiscal adjustment, the NGF will, on-demand, provide virtual support in form of technical advisory and consultative sessions to assist States in the domestication of required reforms.</w:t>
      </w:r>
    </w:p>
    <w:p w14:paraId="1F37698D" w14:textId="075CDD6F" w:rsidR="004B24FC" w:rsidRPr="00D633B5" w:rsidRDefault="004B24FC" w:rsidP="009227EF">
      <w:pPr>
        <w:pStyle w:val="Heading1"/>
        <w:tabs>
          <w:tab w:val="left" w:pos="567"/>
        </w:tabs>
        <w:ind w:left="709" w:hanging="709"/>
        <w:rPr>
          <w:rFonts w:ascii="Candara" w:hAnsi="Candara"/>
        </w:rPr>
      </w:pPr>
      <w:bookmarkStart w:id="0" w:name="_Toc39746397"/>
      <w:r w:rsidRPr="00D633B5">
        <w:rPr>
          <w:rFonts w:ascii="Candara" w:hAnsi="Candara"/>
        </w:rPr>
        <w:lastRenderedPageBreak/>
        <w:t>2.</w:t>
      </w:r>
      <w:r w:rsidRPr="00D633B5">
        <w:rPr>
          <w:rFonts w:ascii="Candara" w:hAnsi="Candara"/>
        </w:rPr>
        <w:tab/>
        <w:t>Budget Performance Reporting</w:t>
      </w:r>
      <w:bookmarkEnd w:id="0"/>
    </w:p>
    <w:p w14:paraId="2BD8FA26" w14:textId="4F1EF1B9" w:rsidR="004B24FC" w:rsidRPr="00D633B5" w:rsidRDefault="00F43009" w:rsidP="004B24FC">
      <w:pPr>
        <w:pStyle w:val="Heading2"/>
        <w:numPr>
          <w:ilvl w:val="1"/>
          <w:numId w:val="0"/>
        </w:numPr>
        <w:ind w:left="576" w:hanging="576"/>
        <w:rPr>
          <w:rFonts w:ascii="Candara" w:hAnsi="Candara"/>
        </w:rPr>
      </w:pPr>
      <w:bookmarkStart w:id="1" w:name="_Toc39746398"/>
      <w:r w:rsidRPr="00D633B5">
        <w:rPr>
          <w:rFonts w:ascii="Candara" w:hAnsi="Candara"/>
        </w:rPr>
        <w:t>2.1</w:t>
      </w:r>
      <w:r w:rsidRPr="00D633B5">
        <w:rPr>
          <w:rFonts w:ascii="Candara" w:hAnsi="Candara"/>
        </w:rPr>
        <w:tab/>
      </w:r>
      <w:r w:rsidR="004B24FC" w:rsidRPr="00D633B5">
        <w:rPr>
          <w:rFonts w:ascii="Candara" w:hAnsi="Candara"/>
        </w:rPr>
        <w:t>Link to PFM Cycle</w:t>
      </w:r>
      <w:bookmarkEnd w:id="1"/>
    </w:p>
    <w:p w14:paraId="3E0158EC" w14:textId="77777777" w:rsidR="004B24FC" w:rsidRPr="00D633B5" w:rsidRDefault="004B24FC" w:rsidP="004B24FC">
      <w:pPr>
        <w:pStyle w:val="NumberedParagraph"/>
        <w:numPr>
          <w:ilvl w:val="0"/>
          <w:numId w:val="10"/>
        </w:numPr>
        <w:rPr>
          <w:rFonts w:ascii="Candara" w:hAnsi="Candara"/>
          <w:lang w:eastAsia="en-US"/>
        </w:rPr>
      </w:pPr>
      <w:r w:rsidRPr="00D633B5">
        <w:rPr>
          <w:rFonts w:ascii="Candara" w:hAnsi="Candara"/>
          <w:lang w:eastAsia="en-US"/>
        </w:rPr>
        <w:t xml:space="preserve">The set of Toolkits developed under this SFTAS programme cover key components of the PFM cycle. The relevant stage of the PFM cycle covered by this specific Toolkit is </w:t>
      </w:r>
      <w:r w:rsidRPr="00D633B5">
        <w:rPr>
          <w:rFonts w:ascii="Candara" w:hAnsi="Candara"/>
          <w:i/>
          <w:iCs/>
          <w:lang w:eastAsia="en-US"/>
        </w:rPr>
        <w:t xml:space="preserve">Accounting and Reporting </w:t>
      </w:r>
      <w:r w:rsidRPr="00D633B5">
        <w:rPr>
          <w:rFonts w:ascii="Candara" w:hAnsi="Candara"/>
          <w:lang w:eastAsia="en-US"/>
        </w:rPr>
        <w:t xml:space="preserve">and is highlighted in the diagram below. </w:t>
      </w:r>
    </w:p>
    <w:p w14:paraId="54BD3CC3" w14:textId="4ED05734" w:rsidR="004B24FC" w:rsidRPr="00D633B5" w:rsidRDefault="00F43009" w:rsidP="004B24FC">
      <w:pPr>
        <w:pStyle w:val="Caption"/>
        <w:rPr>
          <w:rFonts w:ascii="Candara" w:hAnsi="Candara"/>
          <w:lang w:eastAsia="en-US"/>
        </w:rPr>
      </w:pPr>
      <w:bookmarkStart w:id="2" w:name="_Ref23845025"/>
      <w:bookmarkStart w:id="3" w:name="_Toc39746435"/>
      <w:r w:rsidRPr="00D633B5">
        <w:rPr>
          <w:rFonts w:ascii="Candara" w:hAnsi="Candara"/>
        </w:rPr>
        <w:t xml:space="preserve">Figure </w:t>
      </w:r>
      <w:r w:rsidRPr="00D633B5">
        <w:rPr>
          <w:rFonts w:ascii="Candara" w:hAnsi="Candara"/>
          <w:noProof/>
        </w:rPr>
        <w:t>1</w:t>
      </w:r>
      <w:bookmarkEnd w:id="2"/>
      <w:r w:rsidRPr="00D633B5">
        <w:rPr>
          <w:rFonts w:ascii="Candara" w:hAnsi="Candara"/>
        </w:rPr>
        <w:t xml:space="preserve"> – </w:t>
      </w:r>
      <w:r w:rsidR="004B24FC" w:rsidRPr="00D633B5">
        <w:rPr>
          <w:rFonts w:ascii="Candara" w:hAnsi="Candara"/>
        </w:rPr>
        <w:t>PFM Cycle</w:t>
      </w:r>
      <w:bookmarkEnd w:id="3"/>
      <w:r w:rsidR="004B24FC" w:rsidRPr="00D633B5">
        <w:rPr>
          <w:rFonts w:ascii="Candara" w:hAnsi="Candara"/>
          <w:lang w:eastAsia="en-US"/>
        </w:rPr>
        <w:t xml:space="preserve"> </w:t>
      </w:r>
    </w:p>
    <w:p w14:paraId="7AD0D54F" w14:textId="77777777" w:rsidR="004B24FC" w:rsidRPr="00D633B5" w:rsidRDefault="004B24FC" w:rsidP="004B24FC">
      <w:pPr>
        <w:pStyle w:val="NumberedParagraph"/>
        <w:numPr>
          <w:ilvl w:val="0"/>
          <w:numId w:val="0"/>
        </w:numPr>
        <w:ind w:left="567"/>
        <w:jc w:val="center"/>
        <w:rPr>
          <w:rFonts w:ascii="Candara" w:hAnsi="Candara"/>
          <w:lang w:eastAsia="en-US"/>
        </w:rPr>
      </w:pPr>
      <w:r w:rsidRPr="00D633B5">
        <w:rPr>
          <w:rFonts w:ascii="Candara" w:hAnsi="Candara"/>
          <w:noProof/>
        </w:rPr>
        <w:drawing>
          <wp:inline distT="0" distB="0" distL="0" distR="0" wp14:anchorId="530C80B0" wp14:editId="31406E99">
            <wp:extent cx="2811780" cy="2631715"/>
            <wp:effectExtent l="0" t="0" r="7620" b="0"/>
            <wp:docPr id="456" name="Picture 4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Accounting and Reporting highlighted.jpg"/>
                    <pic:cNvPicPr/>
                  </pic:nvPicPr>
                  <pic:blipFill>
                    <a:blip r:embed="rId10">
                      <a:extLst>
                        <a:ext uri="{28A0092B-C50C-407E-A947-70E740481C1C}">
                          <a14:useLocalDpi xmlns:a14="http://schemas.microsoft.com/office/drawing/2010/main" val="0"/>
                        </a:ext>
                      </a:extLst>
                    </a:blip>
                    <a:stretch>
                      <a:fillRect/>
                    </a:stretch>
                  </pic:blipFill>
                  <pic:spPr>
                    <a:xfrm>
                      <a:off x="0" y="0"/>
                      <a:ext cx="2844941" cy="2662752"/>
                    </a:xfrm>
                    <a:prstGeom prst="rect">
                      <a:avLst/>
                    </a:prstGeom>
                  </pic:spPr>
                </pic:pic>
              </a:graphicData>
            </a:graphic>
          </wp:inline>
        </w:drawing>
      </w:r>
    </w:p>
    <w:p w14:paraId="38943B0D" w14:textId="117A0D3C" w:rsidR="004B24FC" w:rsidRPr="00D633B5" w:rsidRDefault="004B24FC" w:rsidP="004B24FC">
      <w:pPr>
        <w:pStyle w:val="NumberedParagraph"/>
        <w:numPr>
          <w:ilvl w:val="0"/>
          <w:numId w:val="10"/>
        </w:numPr>
        <w:rPr>
          <w:rFonts w:ascii="Candara" w:hAnsi="Candara"/>
        </w:rPr>
      </w:pPr>
      <w:r w:rsidRPr="00D633B5">
        <w:rPr>
          <w:rFonts w:ascii="Candara" w:hAnsi="Candara"/>
          <w:lang w:eastAsia="en-US"/>
        </w:rPr>
        <w:t xml:space="preserve">An ‘acid test’ for the success </w:t>
      </w:r>
      <w:r w:rsidR="00F43009" w:rsidRPr="00D633B5">
        <w:rPr>
          <w:rFonts w:ascii="Candara" w:hAnsi="Candara"/>
          <w:lang w:eastAsia="en-US"/>
        </w:rPr>
        <w:t>in</w:t>
      </w:r>
      <w:r w:rsidRPr="00D633B5">
        <w:rPr>
          <w:rFonts w:ascii="Candara" w:hAnsi="Candara"/>
          <w:lang w:eastAsia="en-US"/>
        </w:rPr>
        <w:t xml:space="preserve"> </w:t>
      </w:r>
      <w:r w:rsidR="00F43009" w:rsidRPr="00D633B5">
        <w:rPr>
          <w:rFonts w:ascii="Candara" w:hAnsi="Candara"/>
          <w:lang w:eastAsia="en-US"/>
        </w:rPr>
        <w:t>using the tool</w:t>
      </w:r>
      <w:r w:rsidR="00021F13">
        <w:rPr>
          <w:rFonts w:ascii="Candara" w:hAnsi="Candara"/>
          <w:lang w:eastAsia="en-US"/>
        </w:rPr>
        <w:t>kit</w:t>
      </w:r>
      <w:r w:rsidR="00F43009" w:rsidRPr="00D633B5">
        <w:rPr>
          <w:rFonts w:ascii="Candara" w:hAnsi="Candara"/>
          <w:lang w:eastAsia="en-US"/>
        </w:rPr>
        <w:t xml:space="preserve"> </w:t>
      </w:r>
      <w:r w:rsidRPr="00D633B5">
        <w:rPr>
          <w:rFonts w:ascii="Candara" w:hAnsi="Candara"/>
          <w:lang w:eastAsia="en-US"/>
        </w:rPr>
        <w:t xml:space="preserve">will be the extent to which </w:t>
      </w:r>
      <w:r w:rsidR="00021F13">
        <w:rPr>
          <w:rFonts w:ascii="Candara" w:hAnsi="Candara"/>
          <w:lang w:eastAsia="en-US"/>
        </w:rPr>
        <w:t>S</w:t>
      </w:r>
      <w:r w:rsidRPr="00D633B5">
        <w:rPr>
          <w:rFonts w:ascii="Candara" w:hAnsi="Candara"/>
          <w:lang w:eastAsia="en-US"/>
        </w:rPr>
        <w:t xml:space="preserve">tates </w:t>
      </w:r>
      <w:r w:rsidR="00021F13">
        <w:rPr>
          <w:rFonts w:ascii="Candara" w:hAnsi="Candara"/>
          <w:lang w:eastAsia="en-US"/>
        </w:rPr>
        <w:t xml:space="preserve">are able </w:t>
      </w:r>
      <w:r w:rsidRPr="00D633B5">
        <w:rPr>
          <w:rFonts w:ascii="Candara" w:hAnsi="Candara"/>
          <w:lang w:eastAsia="en-US"/>
        </w:rPr>
        <w:t xml:space="preserve">to produce more </w:t>
      </w:r>
      <w:r w:rsidRPr="00D633B5">
        <w:rPr>
          <w:rFonts w:ascii="Candara" w:hAnsi="Candara"/>
          <w:u w:val="single"/>
          <w:lang w:eastAsia="en-US"/>
        </w:rPr>
        <w:t>credible</w:t>
      </w:r>
      <w:r w:rsidR="00021F13">
        <w:rPr>
          <w:rFonts w:ascii="Candara" w:hAnsi="Candara"/>
          <w:u w:val="single"/>
          <w:lang w:eastAsia="en-US"/>
        </w:rPr>
        <w:t xml:space="preserve"> and quality</w:t>
      </w:r>
      <w:r w:rsidRPr="00D633B5">
        <w:rPr>
          <w:rFonts w:ascii="Candara" w:hAnsi="Candara"/>
          <w:u w:val="single"/>
          <w:lang w:eastAsia="en-US"/>
        </w:rPr>
        <w:t xml:space="preserve"> budget</w:t>
      </w:r>
      <w:r w:rsidR="00021F13">
        <w:rPr>
          <w:rFonts w:ascii="Candara" w:hAnsi="Candara"/>
          <w:u w:val="single"/>
          <w:lang w:eastAsia="en-US"/>
        </w:rPr>
        <w:t xml:space="preserve"> performance reports</w:t>
      </w:r>
      <w:r w:rsidRPr="00D633B5">
        <w:rPr>
          <w:rFonts w:ascii="Candara" w:hAnsi="Candara"/>
        </w:rPr>
        <w:t>. This will be critical in achieving the SFTAS Disbursement Linked Indicator 1 ‘Improved financial reporting and budget reliability’.</w:t>
      </w:r>
    </w:p>
    <w:p w14:paraId="29AA253C" w14:textId="2A075589" w:rsidR="004B24FC" w:rsidRPr="00D633B5" w:rsidRDefault="00F43009" w:rsidP="004B24FC">
      <w:pPr>
        <w:pStyle w:val="Heading2"/>
        <w:numPr>
          <w:ilvl w:val="1"/>
          <w:numId w:val="0"/>
        </w:numPr>
        <w:ind w:left="576" w:hanging="576"/>
        <w:rPr>
          <w:rFonts w:ascii="Candara" w:hAnsi="Candara"/>
        </w:rPr>
      </w:pPr>
      <w:bookmarkStart w:id="4" w:name="_Toc39746399"/>
      <w:r w:rsidRPr="00D633B5">
        <w:rPr>
          <w:rFonts w:ascii="Candara" w:hAnsi="Candara"/>
        </w:rPr>
        <w:t>2.2</w:t>
      </w:r>
      <w:r w:rsidRPr="00D633B5">
        <w:rPr>
          <w:rFonts w:ascii="Candara" w:hAnsi="Candara"/>
        </w:rPr>
        <w:tab/>
      </w:r>
      <w:r w:rsidR="004B24FC" w:rsidRPr="00D633B5">
        <w:rPr>
          <w:rFonts w:ascii="Candara" w:hAnsi="Candara"/>
        </w:rPr>
        <w:t>Best Practice Statements</w:t>
      </w:r>
      <w:bookmarkEnd w:id="4"/>
    </w:p>
    <w:p w14:paraId="7F633B85" w14:textId="2EAC7FA8" w:rsidR="004B24FC" w:rsidRPr="00D633B5" w:rsidRDefault="004B24FC" w:rsidP="004B24FC">
      <w:pPr>
        <w:pStyle w:val="ListParagraph"/>
        <w:numPr>
          <w:ilvl w:val="0"/>
          <w:numId w:val="10"/>
        </w:numPr>
        <w:rPr>
          <w:rFonts w:ascii="Candara" w:hAnsi="Candara"/>
        </w:rPr>
      </w:pPr>
      <w:r w:rsidRPr="00D633B5">
        <w:rPr>
          <w:rFonts w:ascii="Candara" w:hAnsi="Candara"/>
        </w:rPr>
        <w:t xml:space="preserve">Each of the </w:t>
      </w:r>
      <w:r w:rsidR="00DC3D3B">
        <w:rPr>
          <w:rFonts w:ascii="Candara" w:hAnsi="Candara"/>
        </w:rPr>
        <w:t>t</w:t>
      </w:r>
      <w:r w:rsidRPr="00D633B5">
        <w:rPr>
          <w:rFonts w:ascii="Candara" w:hAnsi="Candara"/>
        </w:rPr>
        <w:t xml:space="preserve">oolkits aim at achieving a set of “best practice statements” based on various resource materials such as the PEFA Indicator Framework, OECD-SIGMA PFM Principles, Tax Administration Diagnostic and Assessment Tool (TADAT), and more importantly the SFTAS eligibility criteria and disbursement-linked indicators.  </w:t>
      </w:r>
    </w:p>
    <w:p w14:paraId="1CEF5D85" w14:textId="77777777" w:rsidR="004B24FC" w:rsidRPr="00D633B5" w:rsidRDefault="004B24FC" w:rsidP="004B24FC">
      <w:pPr>
        <w:pStyle w:val="NumberedParagraph"/>
        <w:numPr>
          <w:ilvl w:val="0"/>
          <w:numId w:val="10"/>
        </w:numPr>
        <w:rPr>
          <w:rFonts w:ascii="Candara" w:hAnsi="Candara"/>
        </w:rPr>
      </w:pPr>
      <w:r w:rsidRPr="00D633B5">
        <w:rPr>
          <w:rFonts w:ascii="Candara" w:hAnsi="Candara"/>
        </w:rPr>
        <w:t xml:space="preserve">The “best practice statements” under the </w:t>
      </w:r>
      <w:r w:rsidRPr="00D633B5">
        <w:rPr>
          <w:rFonts w:ascii="Candara" w:hAnsi="Candara"/>
          <w:i/>
          <w:iCs/>
        </w:rPr>
        <w:t xml:space="preserve">Budget Performance Reporting </w:t>
      </w:r>
      <w:r w:rsidRPr="00D633B5">
        <w:rPr>
          <w:rFonts w:ascii="Candara" w:hAnsi="Candara"/>
        </w:rPr>
        <w:t>Toolkit are:</w:t>
      </w:r>
    </w:p>
    <w:tbl>
      <w:tblPr>
        <w:tblW w:w="0" w:type="auto"/>
        <w:tblInd w:w="562" w:type="dxa"/>
        <w:tblBorders>
          <w:top w:val="single" w:sz="4" w:space="0" w:color="9DBCB0"/>
          <w:left w:val="single" w:sz="4" w:space="0" w:color="9DBCB0"/>
          <w:bottom w:val="single" w:sz="4" w:space="0" w:color="9DBCB0"/>
          <w:right w:val="single" w:sz="4" w:space="0" w:color="9DBCB0"/>
          <w:insideH w:val="single" w:sz="4" w:space="0" w:color="9DBCB0"/>
          <w:insideV w:val="single" w:sz="4" w:space="0" w:color="9DBCB0"/>
        </w:tblBorders>
        <w:tblLook w:val="04A0" w:firstRow="1" w:lastRow="0" w:firstColumn="1" w:lastColumn="0" w:noHBand="0" w:noVBand="1"/>
      </w:tblPr>
      <w:tblGrid>
        <w:gridCol w:w="9544"/>
      </w:tblGrid>
      <w:tr w:rsidR="004B24FC" w:rsidRPr="00D633B5" w14:paraId="26CF6117" w14:textId="77777777" w:rsidTr="00A866BB">
        <w:tc>
          <w:tcPr>
            <w:tcW w:w="0" w:type="auto"/>
            <w:tcBorders>
              <w:top w:val="single" w:sz="4" w:space="0" w:color="9DBCB0"/>
              <w:left w:val="single" w:sz="4" w:space="0" w:color="9DBCB0"/>
              <w:bottom w:val="single" w:sz="4" w:space="0" w:color="9DBCB0"/>
              <w:right w:val="single" w:sz="4" w:space="0" w:color="9DBCB0"/>
            </w:tcBorders>
            <w:shd w:val="clear" w:color="auto" w:fill="FFFFFF" w:themeFill="background1"/>
            <w:hideMark/>
          </w:tcPr>
          <w:p w14:paraId="25E38911" w14:textId="77777777" w:rsidR="004B24FC" w:rsidRPr="00D633B5" w:rsidRDefault="004B24FC" w:rsidP="00A866BB">
            <w:pPr>
              <w:pStyle w:val="BestPracticeBullets"/>
              <w:rPr>
                <w:rFonts w:ascii="Candara" w:hAnsi="Candara"/>
                <w:sz w:val="21"/>
                <w:szCs w:val="21"/>
              </w:rPr>
            </w:pPr>
            <w:r w:rsidRPr="00D633B5">
              <w:rPr>
                <w:rFonts w:ascii="Candara" w:hAnsi="Candara"/>
                <w:sz w:val="21"/>
                <w:szCs w:val="21"/>
              </w:rPr>
              <w:t>In-year budget execution reports are routinely made available to the public within one month of their issuance</w:t>
            </w:r>
          </w:p>
          <w:p w14:paraId="250E0B2C" w14:textId="77777777" w:rsidR="004B24FC" w:rsidRPr="00D633B5" w:rsidRDefault="004B24FC" w:rsidP="00A866BB">
            <w:pPr>
              <w:pStyle w:val="BestPracticeBullets"/>
              <w:rPr>
                <w:rFonts w:ascii="Candara" w:hAnsi="Candara"/>
                <w:sz w:val="21"/>
                <w:szCs w:val="21"/>
              </w:rPr>
            </w:pPr>
            <w:r w:rsidRPr="00D633B5">
              <w:rPr>
                <w:rFonts w:ascii="Candara" w:hAnsi="Candara"/>
                <w:sz w:val="21"/>
                <w:szCs w:val="21"/>
              </w:rPr>
              <w:t xml:space="preserve">Annual budget execution report is made available to the public within six months of the fiscal year’s end. </w:t>
            </w:r>
          </w:p>
        </w:tc>
      </w:tr>
      <w:tr w:rsidR="004B24FC" w:rsidRPr="00D633B5" w14:paraId="4BAA0C81" w14:textId="77777777" w:rsidTr="00A866BB">
        <w:tc>
          <w:tcPr>
            <w:tcW w:w="0" w:type="auto"/>
            <w:tcBorders>
              <w:top w:val="single" w:sz="4" w:space="0" w:color="9DBCB0"/>
              <w:left w:val="single" w:sz="4" w:space="0" w:color="9DBCB0"/>
              <w:bottom w:val="single" w:sz="4" w:space="0" w:color="9DBCB0"/>
              <w:right w:val="single" w:sz="4" w:space="0" w:color="9DBCB0"/>
            </w:tcBorders>
            <w:shd w:val="clear" w:color="auto" w:fill="FFFFFF" w:themeFill="background1"/>
            <w:hideMark/>
          </w:tcPr>
          <w:p w14:paraId="7CCC7B7B" w14:textId="77777777" w:rsidR="004B24FC" w:rsidRPr="00D633B5" w:rsidRDefault="004B24FC" w:rsidP="00A866BB">
            <w:pPr>
              <w:pStyle w:val="BestPracticeBullets"/>
              <w:rPr>
                <w:rFonts w:ascii="Candara" w:hAnsi="Candara"/>
                <w:sz w:val="21"/>
                <w:szCs w:val="21"/>
              </w:rPr>
            </w:pPr>
            <w:r w:rsidRPr="00D633B5">
              <w:rPr>
                <w:rFonts w:ascii="Candara" w:hAnsi="Candara"/>
                <w:sz w:val="21"/>
                <w:szCs w:val="21"/>
              </w:rPr>
              <w:t>Coverage and classification of data allows direct comparison to the original budget. Information includes all items of budget estimates. Expenditures made from transfers to de-concentrated units within state government are included in the reports.</w:t>
            </w:r>
          </w:p>
        </w:tc>
      </w:tr>
      <w:tr w:rsidR="004B24FC" w:rsidRPr="00D633B5" w14:paraId="22068458" w14:textId="77777777" w:rsidTr="00A866BB">
        <w:tc>
          <w:tcPr>
            <w:tcW w:w="0" w:type="auto"/>
            <w:tcBorders>
              <w:top w:val="single" w:sz="4" w:space="0" w:color="9DBCB0"/>
              <w:left w:val="single" w:sz="4" w:space="0" w:color="9DBCB0"/>
              <w:bottom w:val="single" w:sz="4" w:space="0" w:color="9DBCB0"/>
              <w:right w:val="single" w:sz="4" w:space="0" w:color="9DBCB0"/>
            </w:tcBorders>
            <w:shd w:val="clear" w:color="auto" w:fill="FFFFFF" w:themeFill="background1"/>
          </w:tcPr>
          <w:p w14:paraId="55AE7D37" w14:textId="77777777" w:rsidR="004B24FC" w:rsidRPr="00D633B5" w:rsidRDefault="004B24FC" w:rsidP="00A866BB">
            <w:pPr>
              <w:pStyle w:val="BestPracticeBullets"/>
              <w:rPr>
                <w:rFonts w:ascii="Candara" w:hAnsi="Candara"/>
                <w:sz w:val="21"/>
                <w:szCs w:val="21"/>
              </w:rPr>
            </w:pPr>
            <w:r w:rsidRPr="00D633B5">
              <w:rPr>
                <w:rFonts w:ascii="Candara" w:hAnsi="Candara"/>
                <w:sz w:val="21"/>
                <w:szCs w:val="21"/>
              </w:rPr>
              <w:t>Budget execution reports are prepared monthly</w:t>
            </w:r>
            <w:r w:rsidRPr="00D633B5">
              <w:rPr>
                <w:rStyle w:val="FootnoteReference"/>
                <w:rFonts w:ascii="Candara" w:hAnsi="Candara"/>
                <w:sz w:val="21"/>
                <w:szCs w:val="21"/>
              </w:rPr>
              <w:footnoteReference w:id="1"/>
            </w:r>
            <w:r w:rsidRPr="00D633B5">
              <w:rPr>
                <w:rFonts w:ascii="Candara" w:hAnsi="Candara"/>
                <w:sz w:val="21"/>
                <w:szCs w:val="21"/>
              </w:rPr>
              <w:t>, and issued within two weeks from the end of each month.</w:t>
            </w:r>
          </w:p>
        </w:tc>
      </w:tr>
      <w:tr w:rsidR="004B24FC" w:rsidRPr="00D633B5" w14:paraId="4FA62C9E" w14:textId="77777777" w:rsidTr="00A866BB">
        <w:tc>
          <w:tcPr>
            <w:tcW w:w="0" w:type="auto"/>
            <w:tcBorders>
              <w:top w:val="single" w:sz="4" w:space="0" w:color="9DBCB0"/>
              <w:left w:val="single" w:sz="4" w:space="0" w:color="9DBCB0"/>
              <w:bottom w:val="single" w:sz="4" w:space="0" w:color="9DBCB0"/>
              <w:right w:val="single" w:sz="4" w:space="0" w:color="9DBCB0"/>
            </w:tcBorders>
            <w:shd w:val="clear" w:color="auto" w:fill="FFFFFF" w:themeFill="background1"/>
          </w:tcPr>
          <w:p w14:paraId="6F0FE3E1" w14:textId="77777777" w:rsidR="004B24FC" w:rsidRPr="00D633B5" w:rsidRDefault="004B24FC" w:rsidP="00A866BB">
            <w:pPr>
              <w:pStyle w:val="BestPracticeBullets"/>
              <w:rPr>
                <w:rFonts w:ascii="Candara" w:hAnsi="Candara"/>
                <w:sz w:val="21"/>
                <w:szCs w:val="21"/>
              </w:rPr>
            </w:pPr>
            <w:r w:rsidRPr="00D633B5">
              <w:rPr>
                <w:rFonts w:ascii="Candara" w:hAnsi="Candara"/>
                <w:sz w:val="21"/>
                <w:szCs w:val="21"/>
              </w:rPr>
              <w:t>There are no material concerns regarding data accuracy. An analysis of budget execution is provided by whatever budget classifications are in use. Information on expenditure is covered at both commitment and payment stages.</w:t>
            </w:r>
          </w:p>
        </w:tc>
      </w:tr>
    </w:tbl>
    <w:p w14:paraId="6F2992E1" w14:textId="3085F2AA" w:rsidR="004B24FC" w:rsidRDefault="004B24FC" w:rsidP="004B24FC">
      <w:pPr>
        <w:pStyle w:val="NumberedParagraph"/>
        <w:numPr>
          <w:ilvl w:val="0"/>
          <w:numId w:val="10"/>
        </w:numPr>
        <w:rPr>
          <w:rFonts w:ascii="Candara" w:hAnsi="Candara"/>
        </w:rPr>
      </w:pPr>
      <w:r w:rsidRPr="00D633B5">
        <w:rPr>
          <w:rFonts w:ascii="Candara" w:hAnsi="Candara"/>
        </w:rPr>
        <w:lastRenderedPageBreak/>
        <w:t xml:space="preserve">More information on the requirements of PEFA can be found on the PEFA website, and in </w:t>
      </w:r>
      <w:r w:rsidR="00F43009" w:rsidRPr="00D633B5">
        <w:rPr>
          <w:rFonts w:ascii="Candara" w:hAnsi="Candara"/>
        </w:rPr>
        <w:t>BPR5</w:t>
      </w:r>
      <w:r w:rsidRPr="00D633B5">
        <w:rPr>
          <w:rFonts w:ascii="Candara" w:hAnsi="Candara"/>
        </w:rPr>
        <w:t xml:space="preserve"> (best practice, as dictated by a score of A, for all indicator dimensions related to budget performance reporting). </w:t>
      </w:r>
    </w:p>
    <w:p w14:paraId="1DBB1EF4" w14:textId="186B5533" w:rsidR="00021F13" w:rsidRDefault="00021F13" w:rsidP="004B24FC">
      <w:pPr>
        <w:pStyle w:val="NumberedParagraph"/>
        <w:numPr>
          <w:ilvl w:val="0"/>
          <w:numId w:val="10"/>
        </w:numPr>
        <w:rPr>
          <w:rFonts w:ascii="Candara" w:hAnsi="Candara"/>
        </w:rPr>
      </w:pPr>
      <w:r>
        <w:rPr>
          <w:rFonts w:ascii="Candara" w:hAnsi="Candara"/>
        </w:rPr>
        <w:t>Below is the SFTAS APA guideline for DLI 1.1 on budget performance report</w:t>
      </w:r>
      <w:r w:rsidR="00826D7C">
        <w:rPr>
          <w:rFonts w:ascii="Candara" w:hAnsi="Candara"/>
        </w:rPr>
        <w:t xml:space="preserve"> 2018 - 2022</w:t>
      </w:r>
      <w:r>
        <w:rPr>
          <w:rFonts w:ascii="Candara" w:hAnsi="Candara"/>
        </w:rPr>
        <w:t>:</w:t>
      </w:r>
    </w:p>
    <w:tbl>
      <w:tblPr>
        <w:tblStyle w:val="TableGrid"/>
        <w:tblW w:w="5017" w:type="pct"/>
        <w:tblLook w:val="04A0" w:firstRow="1" w:lastRow="0" w:firstColumn="1" w:lastColumn="0" w:noHBand="0" w:noVBand="1"/>
      </w:tblPr>
      <w:tblGrid>
        <w:gridCol w:w="1756"/>
        <w:gridCol w:w="2097"/>
        <w:gridCol w:w="2097"/>
        <w:gridCol w:w="2099"/>
        <w:gridCol w:w="2091"/>
      </w:tblGrid>
      <w:tr w:rsidR="00021F13" w:rsidRPr="00D633B5" w14:paraId="2A36A9E5" w14:textId="77777777" w:rsidTr="00D633B5">
        <w:trPr>
          <w:trHeight w:val="58"/>
          <w:tblHeader/>
        </w:trPr>
        <w:tc>
          <w:tcPr>
            <w:tcW w:w="866" w:type="pct"/>
            <w:vMerge w:val="restart"/>
            <w:shd w:val="clear" w:color="auto" w:fill="FDE9D9" w:themeFill="accent6" w:themeFillTint="33"/>
          </w:tcPr>
          <w:p w14:paraId="25691C2B" w14:textId="77777777" w:rsidR="00021F13" w:rsidRPr="00D633B5" w:rsidRDefault="00021F13" w:rsidP="00F962C6">
            <w:pPr>
              <w:rPr>
                <w:rFonts w:ascii="Candara" w:hAnsi="Candara" w:cs="Times New Roman"/>
                <w:b/>
                <w:sz w:val="18"/>
                <w:szCs w:val="18"/>
                <w:lang w:val="fr-FR"/>
              </w:rPr>
            </w:pPr>
            <w:r w:rsidRPr="00D633B5">
              <w:rPr>
                <w:rFonts w:ascii="Candara" w:hAnsi="Candara" w:cs="Times New Roman"/>
                <w:b/>
                <w:sz w:val="18"/>
                <w:szCs w:val="18"/>
              </w:rPr>
              <w:t>Disbursement-Linked Indicator</w:t>
            </w:r>
            <w:r w:rsidRPr="00D633B5">
              <w:rPr>
                <w:rFonts w:ascii="Candara" w:hAnsi="Candara" w:cs="Times New Roman"/>
                <w:b/>
                <w:sz w:val="18"/>
                <w:szCs w:val="18"/>
                <w:lang w:val="fr-FR"/>
              </w:rPr>
              <w:t xml:space="preserve"> </w:t>
            </w:r>
          </w:p>
        </w:tc>
        <w:tc>
          <w:tcPr>
            <w:tcW w:w="4134" w:type="pct"/>
            <w:gridSpan w:val="4"/>
            <w:shd w:val="clear" w:color="auto" w:fill="FDE9D9" w:themeFill="accent6" w:themeFillTint="33"/>
          </w:tcPr>
          <w:p w14:paraId="4C6A6F25" w14:textId="77777777" w:rsidR="00021F13" w:rsidRPr="00D633B5" w:rsidRDefault="00021F13" w:rsidP="00F962C6">
            <w:pPr>
              <w:jc w:val="center"/>
              <w:rPr>
                <w:rFonts w:ascii="Candara" w:hAnsi="Candara" w:cs="Times New Roman"/>
                <w:b/>
                <w:sz w:val="18"/>
                <w:szCs w:val="18"/>
              </w:rPr>
            </w:pPr>
            <w:r w:rsidRPr="00D633B5">
              <w:rPr>
                <w:rFonts w:ascii="Candara" w:hAnsi="Candara" w:cs="Times New Roman"/>
                <w:b/>
                <w:sz w:val="18"/>
                <w:szCs w:val="18"/>
              </w:rPr>
              <w:t>Disbursement-Linked Results</w:t>
            </w:r>
          </w:p>
        </w:tc>
      </w:tr>
      <w:tr w:rsidR="00021F13" w:rsidRPr="00D633B5" w14:paraId="0EBD69A0" w14:textId="77777777" w:rsidTr="00D633B5">
        <w:trPr>
          <w:trHeight w:val="58"/>
          <w:tblHeader/>
        </w:trPr>
        <w:tc>
          <w:tcPr>
            <w:tcW w:w="866" w:type="pct"/>
            <w:vMerge/>
            <w:shd w:val="clear" w:color="auto" w:fill="FDE9D9" w:themeFill="accent6" w:themeFillTint="33"/>
          </w:tcPr>
          <w:p w14:paraId="0E208CA9" w14:textId="77777777" w:rsidR="00021F13" w:rsidRPr="00D633B5" w:rsidRDefault="00021F13" w:rsidP="00F962C6">
            <w:pPr>
              <w:rPr>
                <w:rFonts w:ascii="Candara" w:hAnsi="Candara" w:cs="Times New Roman"/>
                <w:b/>
                <w:sz w:val="18"/>
                <w:szCs w:val="18"/>
              </w:rPr>
            </w:pPr>
          </w:p>
        </w:tc>
        <w:tc>
          <w:tcPr>
            <w:tcW w:w="1034" w:type="pct"/>
            <w:shd w:val="clear" w:color="auto" w:fill="FDE9D9" w:themeFill="accent6" w:themeFillTint="33"/>
          </w:tcPr>
          <w:p w14:paraId="11C0FA67" w14:textId="77777777" w:rsidR="00021F13" w:rsidRPr="00D633B5" w:rsidRDefault="00021F13" w:rsidP="00F962C6">
            <w:pPr>
              <w:jc w:val="center"/>
              <w:rPr>
                <w:rFonts w:ascii="Candara" w:hAnsi="Candara" w:cs="Times New Roman"/>
                <w:b/>
                <w:sz w:val="18"/>
                <w:szCs w:val="18"/>
              </w:rPr>
            </w:pPr>
            <w:r w:rsidRPr="00D633B5">
              <w:rPr>
                <w:rFonts w:ascii="Candara" w:hAnsi="Candara" w:cs="Times New Roman"/>
                <w:b/>
                <w:sz w:val="18"/>
                <w:szCs w:val="18"/>
              </w:rPr>
              <w:t>Year 1 - 2018</w:t>
            </w:r>
          </w:p>
        </w:tc>
        <w:tc>
          <w:tcPr>
            <w:tcW w:w="1034" w:type="pct"/>
            <w:shd w:val="clear" w:color="auto" w:fill="FDE9D9" w:themeFill="accent6" w:themeFillTint="33"/>
          </w:tcPr>
          <w:p w14:paraId="3352EE14" w14:textId="77777777" w:rsidR="00021F13" w:rsidRPr="00D633B5" w:rsidRDefault="00021F13" w:rsidP="00F962C6">
            <w:pPr>
              <w:jc w:val="center"/>
              <w:rPr>
                <w:rFonts w:ascii="Candara" w:hAnsi="Candara" w:cs="Times New Roman"/>
                <w:b/>
                <w:i/>
                <w:sz w:val="18"/>
                <w:szCs w:val="18"/>
              </w:rPr>
            </w:pPr>
            <w:r w:rsidRPr="00D633B5">
              <w:rPr>
                <w:rFonts w:ascii="Candara" w:hAnsi="Candara" w:cs="Times New Roman"/>
                <w:b/>
                <w:i/>
                <w:sz w:val="18"/>
                <w:szCs w:val="18"/>
              </w:rPr>
              <w:t>Year 2 – 2019</w:t>
            </w:r>
          </w:p>
        </w:tc>
        <w:tc>
          <w:tcPr>
            <w:tcW w:w="1035" w:type="pct"/>
            <w:shd w:val="clear" w:color="auto" w:fill="FDE9D9" w:themeFill="accent6" w:themeFillTint="33"/>
          </w:tcPr>
          <w:p w14:paraId="0F8432A3" w14:textId="77777777" w:rsidR="00021F13" w:rsidRPr="00D633B5" w:rsidRDefault="00021F13" w:rsidP="00F962C6">
            <w:pPr>
              <w:jc w:val="center"/>
              <w:rPr>
                <w:rFonts w:ascii="Candara" w:hAnsi="Candara" w:cs="Times New Roman"/>
                <w:b/>
                <w:i/>
                <w:sz w:val="18"/>
                <w:szCs w:val="18"/>
              </w:rPr>
            </w:pPr>
            <w:r w:rsidRPr="00D633B5">
              <w:rPr>
                <w:rFonts w:ascii="Candara" w:hAnsi="Candara" w:cs="Times New Roman"/>
                <w:b/>
                <w:i/>
                <w:sz w:val="18"/>
                <w:szCs w:val="18"/>
              </w:rPr>
              <w:t>Year 3 – 2020</w:t>
            </w:r>
          </w:p>
        </w:tc>
        <w:tc>
          <w:tcPr>
            <w:tcW w:w="1031" w:type="pct"/>
            <w:shd w:val="clear" w:color="auto" w:fill="FDE9D9" w:themeFill="accent6" w:themeFillTint="33"/>
          </w:tcPr>
          <w:p w14:paraId="5D97419F" w14:textId="77777777" w:rsidR="00021F13" w:rsidRPr="00D633B5" w:rsidRDefault="00021F13" w:rsidP="00F962C6">
            <w:pPr>
              <w:jc w:val="center"/>
              <w:rPr>
                <w:rFonts w:ascii="Candara" w:hAnsi="Candara" w:cs="Times New Roman"/>
                <w:b/>
                <w:i/>
                <w:sz w:val="18"/>
                <w:szCs w:val="18"/>
              </w:rPr>
            </w:pPr>
            <w:r w:rsidRPr="00D633B5">
              <w:rPr>
                <w:rFonts w:ascii="Candara" w:hAnsi="Candara" w:cs="Times New Roman"/>
                <w:b/>
                <w:i/>
                <w:sz w:val="18"/>
                <w:szCs w:val="18"/>
              </w:rPr>
              <w:t>Year 4 – 2021</w:t>
            </w:r>
          </w:p>
        </w:tc>
      </w:tr>
      <w:tr w:rsidR="00021F13" w:rsidRPr="00D633B5" w:rsidDel="00B13515" w14:paraId="23F7F663" w14:textId="77777777" w:rsidTr="00021F13">
        <w:trPr>
          <w:trHeight w:val="377"/>
        </w:trPr>
        <w:tc>
          <w:tcPr>
            <w:tcW w:w="866" w:type="pct"/>
          </w:tcPr>
          <w:p w14:paraId="1389D214" w14:textId="77777777" w:rsidR="00021F13" w:rsidRPr="00D633B5" w:rsidRDefault="00021F13" w:rsidP="00D633B5">
            <w:pPr>
              <w:pStyle w:val="ListParagraph"/>
              <w:ind w:left="0"/>
              <w:jc w:val="left"/>
              <w:rPr>
                <w:rFonts w:ascii="Candara" w:hAnsi="Candara"/>
                <w:b/>
                <w:sz w:val="18"/>
                <w:szCs w:val="18"/>
              </w:rPr>
            </w:pPr>
            <w:r w:rsidRPr="00D633B5">
              <w:rPr>
                <w:rFonts w:ascii="Candara" w:hAnsi="Candara"/>
                <w:b/>
                <w:sz w:val="18"/>
                <w:szCs w:val="18"/>
              </w:rPr>
              <w:t>DLI 1: Improved financial reporting and budget reliability</w:t>
            </w:r>
          </w:p>
          <w:p w14:paraId="294D1086" w14:textId="77777777" w:rsidR="00021F13" w:rsidRPr="00D633B5" w:rsidRDefault="00021F13" w:rsidP="00D633B5">
            <w:pPr>
              <w:jc w:val="left"/>
              <w:rPr>
                <w:rFonts w:ascii="Candara" w:hAnsi="Candara" w:cs="Times New Roman"/>
                <w:sz w:val="18"/>
                <w:szCs w:val="18"/>
              </w:rPr>
            </w:pPr>
          </w:p>
          <w:p w14:paraId="0C7FB48F" w14:textId="77777777" w:rsidR="00021F13" w:rsidRPr="00D633B5" w:rsidRDefault="00021F13" w:rsidP="00D633B5">
            <w:pPr>
              <w:jc w:val="left"/>
              <w:rPr>
                <w:rFonts w:ascii="Candara" w:hAnsi="Candara" w:cs="Times New Roman"/>
                <w:sz w:val="18"/>
                <w:szCs w:val="18"/>
              </w:rPr>
            </w:pPr>
          </w:p>
          <w:p w14:paraId="1A3E7731" w14:textId="77777777" w:rsidR="00021F13" w:rsidRPr="00D633B5" w:rsidRDefault="00021F13" w:rsidP="00D633B5">
            <w:pPr>
              <w:jc w:val="left"/>
              <w:rPr>
                <w:rFonts w:ascii="Candara" w:hAnsi="Candara" w:cs="Times New Roman"/>
                <w:sz w:val="18"/>
                <w:szCs w:val="18"/>
              </w:rPr>
            </w:pPr>
          </w:p>
        </w:tc>
        <w:tc>
          <w:tcPr>
            <w:tcW w:w="1034" w:type="pct"/>
          </w:tcPr>
          <w:p w14:paraId="696F50D7" w14:textId="77777777" w:rsidR="00021F13" w:rsidRPr="00D633B5" w:rsidRDefault="00021F13" w:rsidP="00D633B5">
            <w:pPr>
              <w:jc w:val="left"/>
              <w:rPr>
                <w:rFonts w:ascii="Candara" w:hAnsi="Candara" w:cs="Times New Roman"/>
                <w:sz w:val="18"/>
                <w:szCs w:val="18"/>
              </w:rPr>
            </w:pPr>
            <w:r w:rsidRPr="00D633B5">
              <w:rPr>
                <w:rFonts w:ascii="Candara" w:hAnsi="Candara" w:cs="Times New Roman"/>
                <w:sz w:val="18"/>
                <w:szCs w:val="18"/>
              </w:rPr>
              <w:t xml:space="preserve">1.1 FY18 quarterly budget implementation reports published on average within 6 weeks of quarter-end to enable timely budget management                </w:t>
            </w:r>
          </w:p>
          <w:p w14:paraId="6E7D313A" w14:textId="690CA201" w:rsidR="00021F13" w:rsidRPr="00D633B5" w:rsidRDefault="00021F13" w:rsidP="00D633B5">
            <w:pPr>
              <w:jc w:val="left"/>
              <w:rPr>
                <w:rFonts w:ascii="Candara" w:hAnsi="Candara" w:cs="Times New Roman"/>
                <w:sz w:val="18"/>
                <w:szCs w:val="18"/>
              </w:rPr>
            </w:pPr>
          </w:p>
        </w:tc>
        <w:tc>
          <w:tcPr>
            <w:tcW w:w="1034" w:type="pct"/>
          </w:tcPr>
          <w:p w14:paraId="53D67834" w14:textId="77777777" w:rsidR="00021F13" w:rsidRPr="00D633B5" w:rsidRDefault="00021F13" w:rsidP="00D633B5">
            <w:pPr>
              <w:jc w:val="left"/>
              <w:rPr>
                <w:rFonts w:ascii="Candara" w:hAnsi="Candara" w:cs="Times New Roman"/>
                <w:sz w:val="18"/>
                <w:szCs w:val="18"/>
              </w:rPr>
            </w:pPr>
            <w:r w:rsidRPr="00D633B5">
              <w:rPr>
                <w:rFonts w:ascii="Candara" w:hAnsi="Candara" w:cs="Times New Roman"/>
                <w:sz w:val="18"/>
                <w:szCs w:val="18"/>
              </w:rPr>
              <w:t>1.1 FY19 quarterly budget implementation reports published on average within 6 weeks of quarter end to enable timely budget management</w:t>
            </w:r>
          </w:p>
          <w:p w14:paraId="65CE3FBA" w14:textId="24AFE764" w:rsidR="00021F13" w:rsidRPr="00D633B5" w:rsidRDefault="00021F13" w:rsidP="00D633B5">
            <w:pPr>
              <w:jc w:val="left"/>
              <w:rPr>
                <w:rFonts w:ascii="Candara" w:hAnsi="Candara" w:cs="Times New Roman"/>
                <w:sz w:val="18"/>
                <w:szCs w:val="18"/>
              </w:rPr>
            </w:pPr>
          </w:p>
        </w:tc>
        <w:tc>
          <w:tcPr>
            <w:tcW w:w="1035" w:type="pct"/>
          </w:tcPr>
          <w:p w14:paraId="346F9E6F" w14:textId="77777777" w:rsidR="00021F13" w:rsidRPr="00D633B5" w:rsidRDefault="00021F13" w:rsidP="00D633B5">
            <w:pPr>
              <w:jc w:val="left"/>
              <w:rPr>
                <w:rFonts w:ascii="Candara" w:hAnsi="Candara" w:cs="Times New Roman"/>
                <w:sz w:val="18"/>
                <w:szCs w:val="18"/>
              </w:rPr>
            </w:pPr>
            <w:r w:rsidRPr="00D633B5">
              <w:rPr>
                <w:rFonts w:ascii="Candara" w:hAnsi="Candara" w:cs="Times New Roman"/>
                <w:sz w:val="18"/>
                <w:szCs w:val="18"/>
              </w:rPr>
              <w:t>1.1 FY20 quarterly budget implementation reports published on average within 4 weeks of quarter end to enable timely budget management</w:t>
            </w:r>
          </w:p>
          <w:p w14:paraId="391DD653" w14:textId="0B4CB7CE" w:rsidR="00021F13" w:rsidRPr="00D633B5" w:rsidRDefault="00021F13" w:rsidP="00D633B5">
            <w:pPr>
              <w:jc w:val="left"/>
              <w:rPr>
                <w:rFonts w:ascii="Candara" w:hAnsi="Candara" w:cs="Times New Roman"/>
                <w:sz w:val="18"/>
                <w:szCs w:val="18"/>
              </w:rPr>
            </w:pPr>
          </w:p>
        </w:tc>
        <w:tc>
          <w:tcPr>
            <w:tcW w:w="1031" w:type="pct"/>
          </w:tcPr>
          <w:p w14:paraId="48B40B5D" w14:textId="77777777" w:rsidR="00021F13" w:rsidRPr="00D633B5" w:rsidRDefault="00021F13" w:rsidP="00D633B5">
            <w:pPr>
              <w:jc w:val="left"/>
              <w:rPr>
                <w:rFonts w:ascii="Candara" w:hAnsi="Candara" w:cs="Times New Roman"/>
                <w:sz w:val="18"/>
                <w:szCs w:val="18"/>
              </w:rPr>
            </w:pPr>
            <w:r w:rsidRPr="00D633B5">
              <w:rPr>
                <w:rFonts w:ascii="Candara" w:hAnsi="Candara" w:cs="Times New Roman"/>
                <w:sz w:val="18"/>
                <w:szCs w:val="18"/>
              </w:rPr>
              <w:t>1.1 FY21 quarterly budget implementation reports published on average within 4 weeks of quarter end to enable timely budget management</w:t>
            </w:r>
          </w:p>
          <w:p w14:paraId="3E24C720" w14:textId="7D68424D" w:rsidR="00021F13" w:rsidRPr="00D633B5" w:rsidDel="00B13515" w:rsidRDefault="00021F13" w:rsidP="00D633B5">
            <w:pPr>
              <w:jc w:val="left"/>
              <w:rPr>
                <w:rFonts w:ascii="Candara" w:hAnsi="Candara" w:cs="Times New Roman"/>
                <w:sz w:val="18"/>
                <w:szCs w:val="18"/>
              </w:rPr>
            </w:pPr>
          </w:p>
        </w:tc>
      </w:tr>
      <w:tr w:rsidR="00021F13" w:rsidRPr="00D633B5" w:rsidDel="00B13515" w14:paraId="2547176E" w14:textId="77777777" w:rsidTr="00D633B5">
        <w:trPr>
          <w:trHeight w:val="377"/>
        </w:trPr>
        <w:tc>
          <w:tcPr>
            <w:tcW w:w="866" w:type="pct"/>
            <w:vAlign w:val="center"/>
          </w:tcPr>
          <w:p w14:paraId="71791009" w14:textId="53D8DF67" w:rsidR="00021F13" w:rsidRPr="00021F13" w:rsidRDefault="00021F13" w:rsidP="00021F13">
            <w:pPr>
              <w:pStyle w:val="ListParagraph"/>
              <w:ind w:left="0"/>
              <w:jc w:val="left"/>
              <w:rPr>
                <w:rFonts w:ascii="Candara" w:hAnsi="Candara"/>
                <w:b/>
                <w:bCs/>
                <w:sz w:val="18"/>
                <w:szCs w:val="18"/>
              </w:rPr>
            </w:pPr>
            <w:r w:rsidRPr="00D633B5">
              <w:rPr>
                <w:rFonts w:ascii="Candara" w:hAnsi="Candara"/>
                <w:b/>
                <w:bCs/>
                <w:i/>
                <w:color w:val="C00000"/>
                <w:sz w:val="18"/>
                <w:szCs w:val="18"/>
              </w:rPr>
              <w:t>DLR 1.1 value</w:t>
            </w:r>
          </w:p>
        </w:tc>
        <w:tc>
          <w:tcPr>
            <w:tcW w:w="1034" w:type="pct"/>
          </w:tcPr>
          <w:p w14:paraId="4C692C8B" w14:textId="41FF4331" w:rsidR="00021F13" w:rsidRPr="00D633B5" w:rsidRDefault="00021F13" w:rsidP="00021F13">
            <w:pPr>
              <w:jc w:val="left"/>
              <w:rPr>
                <w:rFonts w:ascii="Candara" w:hAnsi="Candara" w:cs="Times New Roman"/>
                <w:b/>
                <w:bCs/>
                <w:sz w:val="18"/>
                <w:szCs w:val="18"/>
              </w:rPr>
            </w:pPr>
            <w:r w:rsidRPr="00D633B5">
              <w:rPr>
                <w:rFonts w:ascii="Candara" w:hAnsi="Candara" w:cs="Times New Roman"/>
                <w:b/>
                <w:bCs/>
                <w:i/>
                <w:color w:val="C00000"/>
                <w:sz w:val="18"/>
                <w:szCs w:val="18"/>
              </w:rPr>
              <w:t>$0.3m per state</w:t>
            </w:r>
          </w:p>
        </w:tc>
        <w:tc>
          <w:tcPr>
            <w:tcW w:w="1034" w:type="pct"/>
          </w:tcPr>
          <w:p w14:paraId="79DEB353" w14:textId="78C1814B" w:rsidR="00021F13" w:rsidRPr="00D633B5" w:rsidRDefault="00021F13" w:rsidP="00021F13">
            <w:pPr>
              <w:jc w:val="left"/>
              <w:rPr>
                <w:rFonts w:ascii="Candara" w:hAnsi="Candara" w:cs="Times New Roman"/>
                <w:b/>
                <w:bCs/>
                <w:sz w:val="18"/>
                <w:szCs w:val="18"/>
              </w:rPr>
            </w:pPr>
            <w:r w:rsidRPr="00D633B5">
              <w:rPr>
                <w:rFonts w:ascii="Candara" w:hAnsi="Candara" w:cs="Times New Roman"/>
                <w:b/>
                <w:bCs/>
                <w:i/>
                <w:color w:val="C00000"/>
                <w:sz w:val="18"/>
                <w:szCs w:val="18"/>
              </w:rPr>
              <w:t>$0.3m per state</w:t>
            </w:r>
          </w:p>
        </w:tc>
        <w:tc>
          <w:tcPr>
            <w:tcW w:w="1035" w:type="pct"/>
          </w:tcPr>
          <w:p w14:paraId="6F926764" w14:textId="328A19ED" w:rsidR="00021F13" w:rsidRPr="00D633B5" w:rsidRDefault="00021F13" w:rsidP="00021F13">
            <w:pPr>
              <w:jc w:val="left"/>
              <w:rPr>
                <w:rFonts w:ascii="Candara" w:hAnsi="Candara" w:cs="Times New Roman"/>
                <w:b/>
                <w:bCs/>
                <w:sz w:val="18"/>
                <w:szCs w:val="18"/>
              </w:rPr>
            </w:pPr>
            <w:r w:rsidRPr="00D633B5">
              <w:rPr>
                <w:rFonts w:ascii="Candara" w:hAnsi="Candara" w:cs="Times New Roman"/>
                <w:b/>
                <w:bCs/>
                <w:i/>
                <w:color w:val="C00000"/>
                <w:sz w:val="18"/>
                <w:szCs w:val="18"/>
              </w:rPr>
              <w:t>$0.3m per state</w:t>
            </w:r>
          </w:p>
        </w:tc>
        <w:tc>
          <w:tcPr>
            <w:tcW w:w="1031" w:type="pct"/>
          </w:tcPr>
          <w:p w14:paraId="5E956B6D" w14:textId="7711605A" w:rsidR="00021F13" w:rsidRPr="00D633B5" w:rsidRDefault="00021F13" w:rsidP="00021F13">
            <w:pPr>
              <w:jc w:val="left"/>
              <w:rPr>
                <w:rFonts w:ascii="Candara" w:hAnsi="Candara" w:cs="Times New Roman"/>
                <w:b/>
                <w:bCs/>
                <w:sz w:val="18"/>
                <w:szCs w:val="18"/>
              </w:rPr>
            </w:pPr>
            <w:r w:rsidRPr="00D633B5">
              <w:rPr>
                <w:rFonts w:ascii="Candara" w:hAnsi="Candara" w:cs="Times New Roman"/>
                <w:b/>
                <w:bCs/>
                <w:i/>
                <w:color w:val="C00000"/>
                <w:sz w:val="18"/>
                <w:szCs w:val="18"/>
              </w:rPr>
              <w:t>$0.3m per state</w:t>
            </w:r>
          </w:p>
        </w:tc>
      </w:tr>
      <w:tr w:rsidR="00021F13" w:rsidRPr="00D633B5" w:rsidDel="00B13515" w14:paraId="5186D732" w14:textId="77777777" w:rsidTr="00D633B5">
        <w:trPr>
          <w:trHeight w:val="377"/>
        </w:trPr>
        <w:tc>
          <w:tcPr>
            <w:tcW w:w="5000" w:type="pct"/>
            <w:gridSpan w:val="5"/>
          </w:tcPr>
          <w:p w14:paraId="32FFB2B7" w14:textId="46230A57" w:rsidR="00021F13" w:rsidRPr="00DF5C7F" w:rsidRDefault="00021F13" w:rsidP="00021F13">
            <w:pPr>
              <w:rPr>
                <w:rFonts w:ascii="Candara" w:eastAsia="Times New Roman" w:hAnsi="Candara" w:cs="Times New Roman"/>
                <w:b/>
                <w:bCs/>
                <w:color w:val="000000"/>
                <w:sz w:val="18"/>
                <w:szCs w:val="18"/>
              </w:rPr>
            </w:pPr>
            <w:r w:rsidRPr="00DF5C7F">
              <w:rPr>
                <w:rFonts w:ascii="Candara" w:eastAsia="Times New Roman" w:hAnsi="Candara" w:cs="Times New Roman"/>
                <w:b/>
                <w:bCs/>
                <w:color w:val="000000"/>
                <w:sz w:val="18"/>
                <w:szCs w:val="18"/>
              </w:rPr>
              <w:t>Definition/Description of DLR achievement</w:t>
            </w:r>
          </w:p>
          <w:p w14:paraId="167ACB88" w14:textId="3E9E3DCE" w:rsidR="00DF5C7F" w:rsidRPr="00DF5C7F" w:rsidRDefault="00DF5C7F" w:rsidP="00DF5C7F">
            <w:pPr>
              <w:rPr>
                <w:rFonts w:ascii="Candara" w:eastAsia="Times New Roman" w:hAnsi="Candara" w:cs="Times New Roman"/>
                <w:color w:val="000000"/>
                <w:sz w:val="18"/>
                <w:szCs w:val="18"/>
              </w:rPr>
            </w:pPr>
            <w:r w:rsidRPr="00DF5C7F">
              <w:rPr>
                <w:rFonts w:ascii="Candara" w:eastAsia="Times New Roman" w:hAnsi="Candara" w:cs="Times New Roman"/>
                <w:color w:val="000000"/>
                <w:sz w:val="18"/>
                <w:szCs w:val="18"/>
              </w:rPr>
              <w:t xml:space="preserve">Quarterly budget implementation reports are the same as quarterly budget execution reports.  The reports are to be posted to the state official website on average within the specific timelines defined for each of the Program years in the DLI Matrix. </w:t>
            </w:r>
            <w:r w:rsidRPr="00DF5C7F">
              <w:rPr>
                <w:rFonts w:ascii="Candara" w:hAnsi="Candara" w:cs="Times New Roman"/>
                <w:sz w:val="18"/>
                <w:szCs w:val="18"/>
              </w:rPr>
              <w:t>For 2019, the average timeline is 6 weeks after the end of the quarter while this changes to 4 weeks for 2020 and 2021.</w:t>
            </w:r>
          </w:p>
          <w:p w14:paraId="265BA9C5" w14:textId="57B5E3FF" w:rsidR="00DF5C7F" w:rsidRPr="00DF5C7F" w:rsidRDefault="00DF5C7F" w:rsidP="00DF5C7F">
            <w:pPr>
              <w:rPr>
                <w:rFonts w:ascii="Candara" w:eastAsia="Times New Roman" w:hAnsi="Candara" w:cs="Times New Roman"/>
                <w:color w:val="000000"/>
                <w:sz w:val="18"/>
                <w:szCs w:val="18"/>
              </w:rPr>
            </w:pPr>
            <w:r w:rsidRPr="00DF5C7F">
              <w:rPr>
                <w:rFonts w:ascii="Candara" w:eastAsia="Times New Roman" w:hAnsi="Candara" w:cs="Times New Roman"/>
                <w:color w:val="000000"/>
                <w:sz w:val="18"/>
                <w:szCs w:val="18"/>
              </w:rPr>
              <w:t xml:space="preserve">The reports should </w:t>
            </w:r>
            <w:bookmarkStart w:id="5" w:name="_Hlk523749293"/>
            <w:r w:rsidRPr="00DF5C7F">
              <w:rPr>
                <w:rFonts w:ascii="Candara" w:eastAsia="Times New Roman" w:hAnsi="Candara" w:cs="Times New Roman"/>
                <w:color w:val="000000"/>
                <w:sz w:val="18"/>
                <w:szCs w:val="18"/>
              </w:rPr>
              <w:t>include, at a minimum, the approved budget appropriation for the year for each organizational units (MDAs), and for each of the core economic classifications of expenditure (Personnel, Overheads, Capital, and Other expenditures). Where states have amended/revised or passed supplementary budgets, the reports should show both the approved original budget AND the approved amended/revised/supplementary budgets. The report should state the actual expenditures for the quarter attributed to each MDA and each expenditure classification as well as the cumulative expenditures for year to date. It should also state balances against each of the revenue and expenditure appropriations</w:t>
            </w:r>
            <w:bookmarkEnd w:id="5"/>
            <w:r w:rsidRPr="00DF5C7F">
              <w:rPr>
                <w:rFonts w:ascii="Candara" w:eastAsia="Times New Roman" w:hAnsi="Candara" w:cs="Times New Roman"/>
                <w:color w:val="000000"/>
                <w:sz w:val="18"/>
                <w:szCs w:val="18"/>
              </w:rPr>
              <w:t>. The balances should also be provided on a consolidated basis across the four (4) expenditure classifications.</w:t>
            </w:r>
          </w:p>
          <w:p w14:paraId="367F6D0A" w14:textId="3977A914" w:rsidR="00021F13" w:rsidRPr="00DF5C7F" w:rsidRDefault="00DF5C7F" w:rsidP="00D633B5">
            <w:pPr>
              <w:rPr>
                <w:rFonts w:ascii="Times New Roman" w:eastAsia="Times New Roman" w:hAnsi="Times New Roman" w:cs="Times New Roman"/>
                <w:color w:val="000000"/>
              </w:rPr>
            </w:pPr>
            <w:r w:rsidRPr="00DF5C7F">
              <w:rPr>
                <w:rFonts w:ascii="Candara" w:eastAsia="Times New Roman" w:hAnsi="Candara" w:cs="Times New Roman"/>
                <w:color w:val="000000"/>
                <w:sz w:val="18"/>
                <w:szCs w:val="18"/>
              </w:rPr>
              <w:t>Note that ‘Other Expenditures’ will include debt servicing, and transfers, or other expenditures not attributable to any of the other three (3) expenditure classifications.</w:t>
            </w:r>
            <w:r w:rsidRPr="00802B5F">
              <w:rPr>
                <w:rFonts w:ascii="Times New Roman" w:eastAsia="Times New Roman" w:hAnsi="Times New Roman" w:cs="Times New Roman"/>
                <w:color w:val="000000"/>
              </w:rPr>
              <w:t xml:space="preserve"> </w:t>
            </w:r>
          </w:p>
        </w:tc>
      </w:tr>
    </w:tbl>
    <w:p w14:paraId="28F4C5D7" w14:textId="7459AF79" w:rsidR="004B24FC" w:rsidRPr="00D633B5" w:rsidRDefault="00F43009" w:rsidP="004B24FC">
      <w:pPr>
        <w:pStyle w:val="Heading2"/>
        <w:numPr>
          <w:ilvl w:val="1"/>
          <w:numId w:val="0"/>
        </w:numPr>
        <w:ind w:left="576" w:hanging="576"/>
        <w:rPr>
          <w:rFonts w:ascii="Candara" w:hAnsi="Candara"/>
        </w:rPr>
      </w:pPr>
      <w:bookmarkStart w:id="6" w:name="_Toc39746400"/>
      <w:r w:rsidRPr="00D633B5">
        <w:rPr>
          <w:rFonts w:ascii="Candara" w:hAnsi="Candara"/>
        </w:rPr>
        <w:t>2.3</w:t>
      </w:r>
      <w:r w:rsidRPr="00D633B5">
        <w:rPr>
          <w:rFonts w:ascii="Candara" w:hAnsi="Candara"/>
        </w:rPr>
        <w:tab/>
      </w:r>
      <w:r w:rsidR="004B24FC" w:rsidRPr="00D633B5">
        <w:rPr>
          <w:rFonts w:ascii="Candara" w:hAnsi="Candara"/>
        </w:rPr>
        <w:t>Interlinkages between Toolkits and Technical Areas</w:t>
      </w:r>
      <w:bookmarkEnd w:id="6"/>
      <w:r w:rsidR="004B24FC" w:rsidRPr="00D633B5">
        <w:rPr>
          <w:rFonts w:ascii="Candara" w:hAnsi="Candara"/>
        </w:rPr>
        <w:t xml:space="preserve"> </w:t>
      </w:r>
    </w:p>
    <w:p w14:paraId="51568592" w14:textId="74528B8E" w:rsidR="004B24FC" w:rsidRPr="00D633B5" w:rsidRDefault="004B24FC" w:rsidP="004B24FC">
      <w:pPr>
        <w:pStyle w:val="NumberedParagraph"/>
        <w:numPr>
          <w:ilvl w:val="0"/>
          <w:numId w:val="10"/>
        </w:numPr>
        <w:rPr>
          <w:rFonts w:ascii="Candara" w:hAnsi="Candara"/>
        </w:rPr>
      </w:pPr>
      <w:r w:rsidRPr="00D633B5">
        <w:rPr>
          <w:rFonts w:ascii="Candara" w:hAnsi="Candara"/>
        </w:rPr>
        <w:t xml:space="preserve">The SFTAS toolkits, and the broader SFTAS programme, support </w:t>
      </w:r>
      <w:r w:rsidR="009227EF" w:rsidRPr="00D633B5">
        <w:rPr>
          <w:rFonts w:ascii="Candara" w:hAnsi="Candara"/>
        </w:rPr>
        <w:t xml:space="preserve">most </w:t>
      </w:r>
      <w:r w:rsidRPr="00D633B5">
        <w:rPr>
          <w:rFonts w:ascii="Candara" w:hAnsi="Candara"/>
        </w:rPr>
        <w:t xml:space="preserve">areas of the traditional PFM cycle (as laid out in Figure </w:t>
      </w:r>
      <w:r w:rsidR="00F43009" w:rsidRPr="00D633B5">
        <w:rPr>
          <w:rFonts w:ascii="Candara" w:hAnsi="Candara"/>
          <w:noProof/>
        </w:rPr>
        <w:t>1</w:t>
      </w:r>
      <w:r w:rsidRPr="00D633B5">
        <w:rPr>
          <w:rFonts w:ascii="Candara" w:hAnsi="Candara"/>
        </w:rPr>
        <w:t xml:space="preserve"> above). Some of the toolkits are fundamentally linked – these linkages are summarised below. </w:t>
      </w:r>
    </w:p>
    <w:p w14:paraId="7F4F2247" w14:textId="50316957" w:rsidR="004B24FC" w:rsidRPr="00D633B5" w:rsidRDefault="00FB59F9" w:rsidP="004B24FC">
      <w:pPr>
        <w:pStyle w:val="Caption"/>
        <w:rPr>
          <w:rFonts w:ascii="Candara" w:hAnsi="Candara"/>
        </w:rPr>
      </w:pPr>
      <w:bookmarkStart w:id="7" w:name="_Toc39746451"/>
      <w:r>
        <w:rPr>
          <w:rFonts w:ascii="Candara" w:hAnsi="Candara"/>
        </w:rPr>
        <w:t xml:space="preserve">Table 1: </w:t>
      </w:r>
      <w:r w:rsidR="004B24FC" w:rsidRPr="00D633B5">
        <w:rPr>
          <w:rFonts w:ascii="Candara" w:hAnsi="Candara"/>
        </w:rPr>
        <w:t>Interlinkages with other Toolkits / SFTAS DLIs</w:t>
      </w:r>
      <w:bookmarkEnd w:id="7"/>
    </w:p>
    <w:tbl>
      <w:tblPr>
        <w:tblStyle w:val="TableGrid"/>
        <w:tblW w:w="4711" w:type="pct"/>
        <w:tblInd w:w="562" w:type="dxa"/>
        <w:tblBorders>
          <w:top w:val="single" w:sz="4" w:space="0" w:color="32746D"/>
          <w:left w:val="single" w:sz="4" w:space="0" w:color="32746D"/>
          <w:bottom w:val="single" w:sz="4" w:space="0" w:color="32746D"/>
          <w:right w:val="single" w:sz="4" w:space="0" w:color="32746D"/>
          <w:insideH w:val="single" w:sz="4" w:space="0" w:color="32746D"/>
          <w:insideV w:val="single" w:sz="4" w:space="0" w:color="32746D"/>
        </w:tblBorders>
        <w:tblLook w:val="04A0" w:firstRow="1" w:lastRow="0" w:firstColumn="1" w:lastColumn="0" w:noHBand="0" w:noVBand="1"/>
      </w:tblPr>
      <w:tblGrid>
        <w:gridCol w:w="3274"/>
        <w:gridCol w:w="6248"/>
      </w:tblGrid>
      <w:tr w:rsidR="004B24FC" w:rsidRPr="00D633B5" w14:paraId="4497CB7E" w14:textId="77777777" w:rsidTr="00A866BB">
        <w:trPr>
          <w:trHeight w:val="278"/>
          <w:tblHeader/>
        </w:trPr>
        <w:tc>
          <w:tcPr>
            <w:tcW w:w="1719" w:type="pct"/>
            <w:shd w:val="clear" w:color="auto" w:fill="32746D"/>
          </w:tcPr>
          <w:p w14:paraId="19E301BF" w14:textId="77777777" w:rsidR="004B24FC" w:rsidRPr="00D633B5" w:rsidRDefault="004B24FC" w:rsidP="00A866BB">
            <w:pPr>
              <w:pStyle w:val="Tabletitle"/>
              <w:rPr>
                <w:rFonts w:ascii="Candara" w:hAnsi="Candara"/>
                <w:lang w:val="en-GB"/>
              </w:rPr>
            </w:pPr>
            <w:r w:rsidRPr="00D633B5">
              <w:rPr>
                <w:rFonts w:ascii="Candara" w:hAnsi="Candara"/>
                <w:lang w:val="en-GB"/>
              </w:rPr>
              <w:t>Toolkit</w:t>
            </w:r>
          </w:p>
        </w:tc>
        <w:tc>
          <w:tcPr>
            <w:tcW w:w="3281" w:type="pct"/>
            <w:shd w:val="clear" w:color="auto" w:fill="32746D"/>
          </w:tcPr>
          <w:p w14:paraId="34C6AAEB" w14:textId="77777777" w:rsidR="004B24FC" w:rsidRPr="00D633B5" w:rsidRDefault="004B24FC" w:rsidP="00A866BB">
            <w:pPr>
              <w:pStyle w:val="Tabletitle"/>
              <w:rPr>
                <w:rFonts w:ascii="Candara" w:hAnsi="Candara"/>
                <w:lang w:val="en-GB"/>
              </w:rPr>
            </w:pPr>
            <w:r w:rsidRPr="00D633B5">
              <w:rPr>
                <w:rFonts w:ascii="Candara" w:hAnsi="Candara"/>
                <w:lang w:val="en-GB"/>
              </w:rPr>
              <w:t>Linkage</w:t>
            </w:r>
          </w:p>
        </w:tc>
      </w:tr>
      <w:tr w:rsidR="004B24FC" w:rsidRPr="00D633B5" w14:paraId="13F446C6" w14:textId="77777777" w:rsidTr="00A866BB">
        <w:trPr>
          <w:trHeight w:val="458"/>
        </w:trPr>
        <w:tc>
          <w:tcPr>
            <w:tcW w:w="1719" w:type="pct"/>
            <w:shd w:val="clear" w:color="auto" w:fill="auto"/>
            <w:vAlign w:val="center"/>
          </w:tcPr>
          <w:p w14:paraId="0E667D9D" w14:textId="77777777" w:rsidR="004B24FC" w:rsidRPr="00D633B5" w:rsidRDefault="004B24FC" w:rsidP="00A866BB">
            <w:pPr>
              <w:pStyle w:val="Table"/>
              <w:jc w:val="left"/>
              <w:rPr>
                <w:rFonts w:ascii="Candara" w:hAnsi="Candara"/>
              </w:rPr>
            </w:pPr>
            <w:r w:rsidRPr="00D633B5">
              <w:rPr>
                <w:rFonts w:ascii="Candara" w:hAnsi="Candara" w:cs="Tahoma"/>
                <w:bCs/>
                <w:szCs w:val="20"/>
              </w:rPr>
              <w:t>Preparing State Budget using the NCOA</w:t>
            </w:r>
          </w:p>
        </w:tc>
        <w:tc>
          <w:tcPr>
            <w:tcW w:w="3281" w:type="pct"/>
            <w:shd w:val="clear" w:color="auto" w:fill="auto"/>
          </w:tcPr>
          <w:p w14:paraId="0CEDA58A" w14:textId="77777777" w:rsidR="004B24FC" w:rsidRPr="00D633B5" w:rsidRDefault="004B24FC" w:rsidP="00A866BB">
            <w:pPr>
              <w:pStyle w:val="Table"/>
              <w:jc w:val="left"/>
              <w:rPr>
                <w:rFonts w:ascii="Candara" w:hAnsi="Candara"/>
              </w:rPr>
            </w:pPr>
            <w:r w:rsidRPr="00D633B5">
              <w:rPr>
                <w:rFonts w:ascii="Candara" w:hAnsi="Candara"/>
                <w:bCs/>
                <w:color w:val="000000" w:themeColor="text1"/>
              </w:rPr>
              <w:t>Direct: The NCOA format feeds directly in the to the Budget Formulation Performance Reporting templates. The templates cannot be used without the NCOA format as provided in the NCOA</w:t>
            </w:r>
          </w:p>
        </w:tc>
      </w:tr>
      <w:tr w:rsidR="004B24FC" w:rsidRPr="00D633B5" w14:paraId="77F7389B" w14:textId="77777777" w:rsidTr="00A866BB">
        <w:trPr>
          <w:trHeight w:val="247"/>
        </w:trPr>
        <w:tc>
          <w:tcPr>
            <w:tcW w:w="1719" w:type="pct"/>
            <w:shd w:val="clear" w:color="auto" w:fill="auto"/>
            <w:vAlign w:val="center"/>
          </w:tcPr>
          <w:p w14:paraId="1D4BD0C8" w14:textId="77777777" w:rsidR="004B24FC" w:rsidRPr="00D633B5" w:rsidRDefault="004B24FC" w:rsidP="00A866BB">
            <w:pPr>
              <w:pStyle w:val="Table"/>
              <w:jc w:val="left"/>
              <w:rPr>
                <w:rFonts w:ascii="Candara" w:hAnsi="Candara"/>
              </w:rPr>
            </w:pPr>
            <w:r w:rsidRPr="00D633B5">
              <w:rPr>
                <w:rFonts w:ascii="Candara" w:hAnsi="Candara" w:cs="Calibri"/>
              </w:rPr>
              <w:t>Preparing FS using NCOA and IPSAS</w:t>
            </w:r>
          </w:p>
        </w:tc>
        <w:tc>
          <w:tcPr>
            <w:tcW w:w="3281" w:type="pct"/>
            <w:shd w:val="clear" w:color="auto" w:fill="auto"/>
          </w:tcPr>
          <w:p w14:paraId="00953AA3" w14:textId="77777777" w:rsidR="004B24FC" w:rsidRPr="00D633B5" w:rsidRDefault="004B24FC" w:rsidP="00A866BB">
            <w:pPr>
              <w:pStyle w:val="Table"/>
              <w:jc w:val="left"/>
              <w:rPr>
                <w:rFonts w:ascii="Candara" w:hAnsi="Candara"/>
                <w:bCs/>
              </w:rPr>
            </w:pPr>
            <w:r w:rsidRPr="00D633B5">
              <w:rPr>
                <w:rFonts w:ascii="Candara" w:hAnsi="Candara"/>
                <w:bCs/>
                <w:color w:val="000000" w:themeColor="text1"/>
              </w:rPr>
              <w:t xml:space="preserve">Indirect: whilst Financial Statements and Budget Performance reports serve different purposes, data sources and processes for their production will have significant commonality. </w:t>
            </w:r>
            <w:r w:rsidRPr="00D633B5">
              <w:rPr>
                <w:rFonts w:ascii="Candara" w:hAnsi="Candara"/>
                <w:b/>
                <w:bCs/>
              </w:rPr>
              <w:t xml:space="preserve"> </w:t>
            </w:r>
          </w:p>
        </w:tc>
      </w:tr>
      <w:tr w:rsidR="004B24FC" w:rsidRPr="00D633B5" w14:paraId="67C8CD07" w14:textId="77777777" w:rsidTr="00A866BB">
        <w:trPr>
          <w:trHeight w:val="458"/>
        </w:trPr>
        <w:tc>
          <w:tcPr>
            <w:tcW w:w="1719" w:type="pct"/>
            <w:shd w:val="clear" w:color="auto" w:fill="auto"/>
            <w:vAlign w:val="center"/>
          </w:tcPr>
          <w:p w14:paraId="624397C1" w14:textId="77777777" w:rsidR="004B24FC" w:rsidRPr="00D633B5" w:rsidRDefault="004B24FC" w:rsidP="00A866BB">
            <w:pPr>
              <w:pStyle w:val="Table"/>
              <w:jc w:val="left"/>
              <w:rPr>
                <w:rFonts w:ascii="Candara" w:hAnsi="Candara"/>
              </w:rPr>
            </w:pPr>
            <w:r w:rsidRPr="00D633B5">
              <w:rPr>
                <w:rFonts w:ascii="Candara" w:hAnsi="Candara" w:cs="Calibri"/>
              </w:rPr>
              <w:t>Preparing MTSS</w:t>
            </w:r>
          </w:p>
        </w:tc>
        <w:tc>
          <w:tcPr>
            <w:tcW w:w="3281" w:type="pct"/>
            <w:shd w:val="clear" w:color="auto" w:fill="auto"/>
          </w:tcPr>
          <w:p w14:paraId="5621BFD2" w14:textId="77777777" w:rsidR="004B24FC" w:rsidRPr="00D633B5" w:rsidRDefault="004B24FC" w:rsidP="00A866BB">
            <w:pPr>
              <w:pStyle w:val="Table"/>
              <w:jc w:val="left"/>
              <w:rPr>
                <w:rFonts w:ascii="Candara" w:hAnsi="Candara"/>
              </w:rPr>
            </w:pPr>
            <w:r w:rsidRPr="00D633B5">
              <w:rPr>
                <w:rFonts w:ascii="Candara" w:hAnsi="Candara"/>
              </w:rPr>
              <w:t>Indirect:  Data from budget performance reports should be used by sectors / MDAs to support the annual performance assessment of MTSSs and subsequently roll-forward</w:t>
            </w:r>
          </w:p>
        </w:tc>
      </w:tr>
      <w:tr w:rsidR="004B24FC" w:rsidRPr="00D633B5" w14:paraId="1CE57DEE" w14:textId="77777777" w:rsidTr="00A866BB">
        <w:trPr>
          <w:trHeight w:val="458"/>
        </w:trPr>
        <w:tc>
          <w:tcPr>
            <w:tcW w:w="1719" w:type="pct"/>
            <w:shd w:val="clear" w:color="auto" w:fill="auto"/>
            <w:vAlign w:val="center"/>
          </w:tcPr>
          <w:p w14:paraId="1D6E7B68" w14:textId="77777777" w:rsidR="004B24FC" w:rsidRPr="00D633B5" w:rsidRDefault="004B24FC" w:rsidP="00A866BB">
            <w:pPr>
              <w:pStyle w:val="Table"/>
              <w:jc w:val="left"/>
              <w:rPr>
                <w:rFonts w:ascii="Candara" w:hAnsi="Candara"/>
              </w:rPr>
            </w:pPr>
            <w:r w:rsidRPr="00D633B5">
              <w:rPr>
                <w:rFonts w:ascii="Candara" w:hAnsi="Candara" w:cs="Calibri"/>
              </w:rPr>
              <w:t>Preparing MTEF</w:t>
            </w:r>
          </w:p>
        </w:tc>
        <w:tc>
          <w:tcPr>
            <w:tcW w:w="3281" w:type="pct"/>
            <w:shd w:val="clear" w:color="auto" w:fill="auto"/>
          </w:tcPr>
          <w:p w14:paraId="328113E8" w14:textId="77777777" w:rsidR="004B24FC" w:rsidRPr="00D633B5" w:rsidRDefault="004B24FC" w:rsidP="00A866BB">
            <w:pPr>
              <w:pStyle w:val="Table"/>
              <w:jc w:val="left"/>
              <w:rPr>
                <w:rFonts w:ascii="Candara" w:hAnsi="Candara"/>
              </w:rPr>
            </w:pPr>
            <w:r w:rsidRPr="00D633B5">
              <w:rPr>
                <w:rFonts w:ascii="Candara" w:hAnsi="Candara"/>
              </w:rPr>
              <w:t xml:space="preserve">Direct: Data from budget performance reports can be used as part of the fiscal forecasting (see below) and envelope setting </w:t>
            </w:r>
          </w:p>
        </w:tc>
      </w:tr>
      <w:tr w:rsidR="004B24FC" w:rsidRPr="00D633B5" w14:paraId="2697F9BE" w14:textId="77777777" w:rsidTr="00A866BB">
        <w:trPr>
          <w:trHeight w:val="458"/>
        </w:trPr>
        <w:tc>
          <w:tcPr>
            <w:tcW w:w="1719" w:type="pct"/>
            <w:shd w:val="clear" w:color="auto" w:fill="auto"/>
            <w:vAlign w:val="center"/>
          </w:tcPr>
          <w:p w14:paraId="2B1CD45A" w14:textId="77777777" w:rsidR="004B24FC" w:rsidRPr="00D633B5" w:rsidRDefault="004B24FC" w:rsidP="00A866BB">
            <w:pPr>
              <w:pStyle w:val="Table"/>
              <w:jc w:val="left"/>
              <w:rPr>
                <w:rFonts w:ascii="Candara" w:hAnsi="Candara"/>
              </w:rPr>
            </w:pPr>
            <w:r w:rsidRPr="00D633B5">
              <w:rPr>
                <w:rFonts w:ascii="Candara" w:hAnsi="Candara"/>
              </w:rPr>
              <w:lastRenderedPageBreak/>
              <w:t>FSP and Annual Budget</w:t>
            </w:r>
          </w:p>
        </w:tc>
        <w:tc>
          <w:tcPr>
            <w:tcW w:w="3281" w:type="pct"/>
            <w:shd w:val="clear" w:color="auto" w:fill="auto"/>
          </w:tcPr>
          <w:p w14:paraId="0C0B3FB7" w14:textId="77777777" w:rsidR="004B24FC" w:rsidRPr="00D633B5" w:rsidRDefault="004B24FC" w:rsidP="00A866BB">
            <w:pPr>
              <w:pStyle w:val="Table"/>
              <w:jc w:val="left"/>
              <w:rPr>
                <w:rFonts w:ascii="Candara" w:hAnsi="Candara"/>
              </w:rPr>
            </w:pPr>
            <w:r w:rsidRPr="00D633B5">
              <w:rPr>
                <w:rFonts w:ascii="Candara" w:hAnsi="Candara"/>
                <w:bCs/>
                <w:color w:val="000000" w:themeColor="text1"/>
              </w:rPr>
              <w:t xml:space="preserve">Direct: The output of the Budget Formulation and Compilation templates will be used to populate the Budget Performance Reporting templates. Data from the budget performance reports should be used in the forecasting of revenues and expenditures in the FSP. The EFU-FSP-BPS Forecasting Tool has an option to use current in-year performance as part of the forecasting process.  </w:t>
            </w:r>
          </w:p>
        </w:tc>
      </w:tr>
      <w:tr w:rsidR="004B24FC" w:rsidRPr="00D633B5" w14:paraId="2FB92972" w14:textId="77777777" w:rsidTr="00A866BB">
        <w:trPr>
          <w:trHeight w:val="458"/>
        </w:trPr>
        <w:tc>
          <w:tcPr>
            <w:tcW w:w="1719" w:type="pct"/>
            <w:shd w:val="clear" w:color="auto" w:fill="auto"/>
            <w:vAlign w:val="center"/>
          </w:tcPr>
          <w:p w14:paraId="2F54B296" w14:textId="77777777" w:rsidR="004B24FC" w:rsidRPr="00D633B5" w:rsidRDefault="004B24FC" w:rsidP="00A866BB">
            <w:pPr>
              <w:pStyle w:val="Table"/>
              <w:jc w:val="left"/>
              <w:rPr>
                <w:rFonts w:ascii="Candara" w:hAnsi="Candara"/>
              </w:rPr>
            </w:pPr>
            <w:r w:rsidRPr="00D633B5">
              <w:rPr>
                <w:rFonts w:ascii="Candara" w:hAnsi="Candara" w:cs="Calibri"/>
              </w:rPr>
              <w:t>TSA and Cash Management Strategy</w:t>
            </w:r>
          </w:p>
        </w:tc>
        <w:tc>
          <w:tcPr>
            <w:tcW w:w="3281" w:type="pct"/>
            <w:shd w:val="clear" w:color="auto" w:fill="auto"/>
          </w:tcPr>
          <w:p w14:paraId="5F53DFAF" w14:textId="77777777" w:rsidR="004B24FC" w:rsidRPr="00D633B5" w:rsidRDefault="004B24FC" w:rsidP="00A866BB">
            <w:pPr>
              <w:pStyle w:val="Table"/>
              <w:jc w:val="left"/>
              <w:rPr>
                <w:rFonts w:ascii="Candara" w:hAnsi="Candara"/>
              </w:rPr>
            </w:pPr>
            <w:r w:rsidRPr="00D633B5">
              <w:rPr>
                <w:rFonts w:ascii="Candara" w:hAnsi="Candara"/>
              </w:rPr>
              <w:t xml:space="preserve">Indirect: Implementation of TSA will help generate more timely data on cash flows (revenues and expenditures) which will facilitate more timely and accurate budget performance reporting </w:t>
            </w:r>
          </w:p>
        </w:tc>
      </w:tr>
      <w:tr w:rsidR="004B24FC" w:rsidRPr="00D633B5" w14:paraId="15630F40" w14:textId="77777777" w:rsidTr="00A866BB">
        <w:trPr>
          <w:trHeight w:val="458"/>
        </w:trPr>
        <w:tc>
          <w:tcPr>
            <w:tcW w:w="1719" w:type="pct"/>
            <w:shd w:val="clear" w:color="auto" w:fill="auto"/>
            <w:vAlign w:val="center"/>
          </w:tcPr>
          <w:p w14:paraId="6D77D154" w14:textId="77777777" w:rsidR="004B24FC" w:rsidRPr="00D633B5" w:rsidRDefault="004B24FC" w:rsidP="00A866BB">
            <w:pPr>
              <w:pStyle w:val="Table"/>
              <w:jc w:val="left"/>
              <w:rPr>
                <w:rFonts w:ascii="Candara" w:hAnsi="Candara"/>
              </w:rPr>
            </w:pPr>
            <w:r w:rsidRPr="00D633B5">
              <w:rPr>
                <w:rFonts w:ascii="Candara" w:hAnsi="Candara" w:cs="Calibri"/>
              </w:rPr>
              <w:t>IFMIS</w:t>
            </w:r>
          </w:p>
        </w:tc>
        <w:tc>
          <w:tcPr>
            <w:tcW w:w="3281" w:type="pct"/>
            <w:shd w:val="clear" w:color="auto" w:fill="auto"/>
          </w:tcPr>
          <w:p w14:paraId="28A67855" w14:textId="77777777" w:rsidR="004B24FC" w:rsidRPr="00D633B5" w:rsidRDefault="004B24FC" w:rsidP="00A866BB">
            <w:pPr>
              <w:pStyle w:val="Table"/>
              <w:jc w:val="left"/>
              <w:rPr>
                <w:rFonts w:ascii="Candara" w:hAnsi="Candara"/>
              </w:rPr>
            </w:pPr>
            <w:r w:rsidRPr="00D633B5">
              <w:rPr>
                <w:rFonts w:ascii="Candara" w:hAnsi="Candara"/>
              </w:rPr>
              <w:t>Direct: IFMIS will be able to provide quick access to data required for budget performance reporting.</w:t>
            </w:r>
          </w:p>
        </w:tc>
      </w:tr>
      <w:tr w:rsidR="004B24FC" w:rsidRPr="00D633B5" w14:paraId="76115007" w14:textId="77777777" w:rsidTr="00A866BB">
        <w:trPr>
          <w:trHeight w:val="458"/>
        </w:trPr>
        <w:tc>
          <w:tcPr>
            <w:tcW w:w="1719" w:type="pct"/>
            <w:shd w:val="clear" w:color="auto" w:fill="auto"/>
            <w:vAlign w:val="center"/>
          </w:tcPr>
          <w:p w14:paraId="144CD0D6" w14:textId="77777777" w:rsidR="004B24FC" w:rsidRPr="00D633B5" w:rsidRDefault="004B24FC" w:rsidP="00A866BB">
            <w:pPr>
              <w:pStyle w:val="Table"/>
              <w:jc w:val="left"/>
              <w:rPr>
                <w:rFonts w:ascii="Candara" w:hAnsi="Candara"/>
              </w:rPr>
            </w:pPr>
            <w:r w:rsidRPr="00D633B5">
              <w:rPr>
                <w:rFonts w:ascii="Candara" w:hAnsi="Candara" w:cs="Calibri"/>
              </w:rPr>
              <w:t>Revenue Code</w:t>
            </w:r>
          </w:p>
        </w:tc>
        <w:tc>
          <w:tcPr>
            <w:tcW w:w="3281" w:type="pct"/>
            <w:shd w:val="clear" w:color="auto" w:fill="auto"/>
          </w:tcPr>
          <w:p w14:paraId="61F45943" w14:textId="77777777" w:rsidR="004B24FC" w:rsidRPr="00D633B5" w:rsidRDefault="004B24FC" w:rsidP="00A866BB">
            <w:pPr>
              <w:pStyle w:val="Table"/>
              <w:jc w:val="left"/>
              <w:rPr>
                <w:rFonts w:ascii="Candara" w:hAnsi="Candara"/>
              </w:rPr>
            </w:pPr>
            <w:r w:rsidRPr="00D633B5">
              <w:rPr>
                <w:rFonts w:ascii="Candara" w:hAnsi="Candara"/>
              </w:rPr>
              <w:t>None</w:t>
            </w:r>
          </w:p>
        </w:tc>
      </w:tr>
      <w:tr w:rsidR="004B24FC" w:rsidRPr="00D633B5" w14:paraId="5007B736" w14:textId="77777777" w:rsidTr="00A866BB">
        <w:trPr>
          <w:trHeight w:val="458"/>
        </w:trPr>
        <w:tc>
          <w:tcPr>
            <w:tcW w:w="1719" w:type="pct"/>
            <w:shd w:val="clear" w:color="auto" w:fill="auto"/>
            <w:vAlign w:val="center"/>
          </w:tcPr>
          <w:p w14:paraId="113823F1" w14:textId="77777777" w:rsidR="004B24FC" w:rsidRPr="00D633B5" w:rsidRDefault="004B24FC" w:rsidP="00A866BB">
            <w:pPr>
              <w:pStyle w:val="Table"/>
              <w:jc w:val="left"/>
              <w:rPr>
                <w:rFonts w:ascii="Candara" w:hAnsi="Candara"/>
              </w:rPr>
            </w:pPr>
            <w:r w:rsidRPr="00D633B5">
              <w:rPr>
                <w:rFonts w:ascii="Candara" w:hAnsi="Candara" w:cs="Calibri"/>
              </w:rPr>
              <w:t>Tax policy and Admin</w:t>
            </w:r>
          </w:p>
        </w:tc>
        <w:tc>
          <w:tcPr>
            <w:tcW w:w="3281" w:type="pct"/>
            <w:shd w:val="clear" w:color="auto" w:fill="auto"/>
          </w:tcPr>
          <w:p w14:paraId="31C790B8" w14:textId="77777777" w:rsidR="004B24FC" w:rsidRPr="00D633B5" w:rsidRDefault="004B24FC" w:rsidP="00A866BB">
            <w:pPr>
              <w:pStyle w:val="Table"/>
              <w:jc w:val="left"/>
              <w:rPr>
                <w:rFonts w:ascii="Candara" w:hAnsi="Candara"/>
              </w:rPr>
            </w:pPr>
            <w:r w:rsidRPr="00D633B5">
              <w:rPr>
                <w:rFonts w:ascii="Candara" w:hAnsi="Candara"/>
              </w:rPr>
              <w:t>None</w:t>
            </w:r>
          </w:p>
        </w:tc>
      </w:tr>
    </w:tbl>
    <w:p w14:paraId="6A24F81E" w14:textId="34958DA4" w:rsidR="00FB69D3" w:rsidRPr="00D633B5" w:rsidRDefault="00F43009" w:rsidP="00F43009">
      <w:pPr>
        <w:pStyle w:val="Heading1"/>
        <w:tabs>
          <w:tab w:val="left" w:pos="567"/>
        </w:tabs>
        <w:ind w:left="709" w:hanging="709"/>
        <w:rPr>
          <w:rFonts w:ascii="Candara" w:hAnsi="Candara"/>
        </w:rPr>
      </w:pPr>
      <w:bookmarkStart w:id="8" w:name="_Toc37667540"/>
      <w:r w:rsidRPr="00D633B5">
        <w:rPr>
          <w:rFonts w:ascii="Candara" w:hAnsi="Candara"/>
        </w:rPr>
        <w:lastRenderedPageBreak/>
        <w:t>3.</w:t>
      </w:r>
      <w:r w:rsidRPr="00D633B5">
        <w:rPr>
          <w:rFonts w:ascii="Candara" w:hAnsi="Candara"/>
        </w:rPr>
        <w:tab/>
      </w:r>
      <w:r w:rsidR="006952E8" w:rsidRPr="00D633B5">
        <w:rPr>
          <w:rFonts w:ascii="Candara" w:hAnsi="Candara"/>
        </w:rPr>
        <w:t xml:space="preserve">Structure of the </w:t>
      </w:r>
      <w:r w:rsidR="008A2A93">
        <w:rPr>
          <w:rFonts w:ascii="Candara" w:hAnsi="Candara"/>
        </w:rPr>
        <w:t>T</w:t>
      </w:r>
      <w:r w:rsidR="006952E8" w:rsidRPr="00D633B5">
        <w:rPr>
          <w:rFonts w:ascii="Candara" w:hAnsi="Candara"/>
        </w:rPr>
        <w:t>oolkit</w:t>
      </w:r>
      <w:bookmarkEnd w:id="8"/>
    </w:p>
    <w:p w14:paraId="3D2C636D" w14:textId="070BE65D" w:rsidR="00BD6560" w:rsidRPr="00C65FE7" w:rsidRDefault="00500F3D" w:rsidP="00F43009">
      <w:pPr>
        <w:pStyle w:val="ListParagraph"/>
        <w:numPr>
          <w:ilvl w:val="0"/>
          <w:numId w:val="10"/>
        </w:numPr>
        <w:rPr>
          <w:rFonts w:ascii="Candara" w:hAnsi="Candara"/>
        </w:rPr>
      </w:pPr>
      <w:bookmarkStart w:id="9" w:name="_Hlk22570357"/>
      <w:r w:rsidRPr="00D633B5">
        <w:rPr>
          <w:rFonts w:ascii="Candara" w:hAnsi="Candara"/>
        </w:rPr>
        <w:t xml:space="preserve">The </w:t>
      </w:r>
      <w:r w:rsidR="004902D0" w:rsidRPr="00D633B5">
        <w:rPr>
          <w:rFonts w:ascii="Candara" w:hAnsi="Candara"/>
        </w:rPr>
        <w:t>tool</w:t>
      </w:r>
      <w:r w:rsidR="00BD6560" w:rsidRPr="00D633B5">
        <w:rPr>
          <w:rFonts w:ascii="Candara" w:hAnsi="Candara"/>
        </w:rPr>
        <w:t>kit</w:t>
      </w:r>
      <w:r w:rsidR="004902D0" w:rsidRPr="00D633B5">
        <w:rPr>
          <w:rFonts w:ascii="Candara" w:hAnsi="Candara"/>
        </w:rPr>
        <w:t xml:space="preserve"> </w:t>
      </w:r>
      <w:r w:rsidR="00D64197" w:rsidRPr="00D633B5">
        <w:rPr>
          <w:rFonts w:ascii="Candara" w:hAnsi="Candara"/>
        </w:rPr>
        <w:t>comprises</w:t>
      </w:r>
      <w:r w:rsidRPr="00D633B5">
        <w:rPr>
          <w:rFonts w:ascii="Candara" w:hAnsi="Candara"/>
        </w:rPr>
        <w:t xml:space="preserve"> </w:t>
      </w:r>
      <w:r w:rsidR="002B2159" w:rsidRPr="00D633B5">
        <w:rPr>
          <w:rFonts w:ascii="Candara" w:hAnsi="Candara"/>
        </w:rPr>
        <w:t>report templates, questionnaires, spreadsheet</w:t>
      </w:r>
      <w:r w:rsidR="009B73A0" w:rsidRPr="00D633B5">
        <w:rPr>
          <w:rFonts w:ascii="Candara" w:hAnsi="Candara"/>
        </w:rPr>
        <w:t>-</w:t>
      </w:r>
      <w:r w:rsidR="001B5AAE" w:rsidRPr="00D633B5">
        <w:rPr>
          <w:rFonts w:ascii="Candara" w:hAnsi="Candara"/>
        </w:rPr>
        <w:t>based models and manuals</w:t>
      </w:r>
      <w:r w:rsidR="000F46B2" w:rsidRPr="00D633B5">
        <w:rPr>
          <w:rFonts w:ascii="Candara" w:hAnsi="Candara"/>
        </w:rPr>
        <w:t>.</w:t>
      </w:r>
      <w:r w:rsidR="000F46B2" w:rsidRPr="00C97795">
        <w:rPr>
          <w:rFonts w:ascii="Candara" w:hAnsi="Candara"/>
        </w:rPr>
        <w:t xml:space="preserve"> </w:t>
      </w:r>
    </w:p>
    <w:p w14:paraId="475B135E" w14:textId="29005521" w:rsidR="00AC0F87" w:rsidRPr="00021F13" w:rsidRDefault="00FB59F9" w:rsidP="00AC0F87">
      <w:pPr>
        <w:pStyle w:val="Caption"/>
        <w:rPr>
          <w:rFonts w:ascii="Candara" w:hAnsi="Candara"/>
        </w:rPr>
      </w:pPr>
      <w:bookmarkStart w:id="10" w:name="_Toc37500810"/>
      <w:bookmarkStart w:id="11" w:name="_Hlk22570464"/>
      <w:bookmarkEnd w:id="9"/>
      <w:r>
        <w:rPr>
          <w:rFonts w:ascii="Candara" w:hAnsi="Candara"/>
        </w:rPr>
        <w:t xml:space="preserve">Table 2: </w:t>
      </w:r>
      <w:r w:rsidR="00AC0F87" w:rsidRPr="00021F13">
        <w:rPr>
          <w:rFonts w:ascii="Candara" w:hAnsi="Candara"/>
        </w:rPr>
        <w:t>Toolkit Modules</w:t>
      </w:r>
      <w:bookmarkEnd w:id="10"/>
    </w:p>
    <w:tbl>
      <w:tblPr>
        <w:tblW w:w="4886" w:type="pct"/>
        <w:tblInd w:w="108" w:type="dxa"/>
        <w:tblBorders>
          <w:top w:val="single" w:sz="8" w:space="0" w:color="9DBCB0"/>
          <w:left w:val="single" w:sz="8" w:space="0" w:color="9DBCB0"/>
          <w:bottom w:val="single" w:sz="8" w:space="0" w:color="9DBCB0"/>
          <w:right w:val="single" w:sz="8" w:space="0" w:color="9DBCB0"/>
          <w:insideH w:val="single" w:sz="8" w:space="0" w:color="9DBCB0"/>
          <w:insideV w:val="single" w:sz="8" w:space="0" w:color="9DBCB0"/>
        </w:tblBorders>
        <w:tblLayout w:type="fixed"/>
        <w:tblLook w:val="01E0" w:firstRow="1" w:lastRow="1" w:firstColumn="1" w:lastColumn="1" w:noHBand="0" w:noVBand="0"/>
      </w:tblPr>
      <w:tblGrid>
        <w:gridCol w:w="1322"/>
        <w:gridCol w:w="2076"/>
        <w:gridCol w:w="2642"/>
        <w:gridCol w:w="3826"/>
      </w:tblGrid>
      <w:tr w:rsidR="00CE7098" w:rsidRPr="00D633B5" w14:paraId="2BE44670" w14:textId="77777777" w:rsidTr="00CE7098">
        <w:trPr>
          <w:cantSplit/>
          <w:trHeight w:val="108"/>
          <w:tblHeader/>
        </w:trPr>
        <w:tc>
          <w:tcPr>
            <w:tcW w:w="670" w:type="pct"/>
            <w:tcBorders>
              <w:bottom w:val="single" w:sz="8" w:space="0" w:color="9DBCB0"/>
            </w:tcBorders>
            <w:shd w:val="clear" w:color="auto" w:fill="32746D"/>
            <w:vAlign w:val="center"/>
          </w:tcPr>
          <w:p w14:paraId="48AA57C8" w14:textId="77777777" w:rsidR="00CE7098" w:rsidRPr="00D633B5" w:rsidRDefault="00CE7098" w:rsidP="002F2FAD">
            <w:pPr>
              <w:pStyle w:val="Tabletitle"/>
              <w:rPr>
                <w:rFonts w:ascii="Candara" w:hAnsi="Candara"/>
                <w:lang w:val="en-GB"/>
              </w:rPr>
            </w:pPr>
            <w:r w:rsidRPr="00D633B5">
              <w:rPr>
                <w:rFonts w:ascii="Candara" w:hAnsi="Candara"/>
                <w:lang w:val="en-GB"/>
              </w:rPr>
              <w:t>ID No.</w:t>
            </w:r>
          </w:p>
        </w:tc>
        <w:tc>
          <w:tcPr>
            <w:tcW w:w="1052" w:type="pct"/>
            <w:tcBorders>
              <w:bottom w:val="single" w:sz="8" w:space="0" w:color="9DBCB0"/>
            </w:tcBorders>
            <w:shd w:val="clear" w:color="auto" w:fill="32746D"/>
            <w:vAlign w:val="center"/>
          </w:tcPr>
          <w:p w14:paraId="49F664CE" w14:textId="77777777" w:rsidR="00CE7098" w:rsidRPr="00D633B5" w:rsidRDefault="00CE7098" w:rsidP="002F2FAD">
            <w:pPr>
              <w:pStyle w:val="Tabletitle"/>
              <w:rPr>
                <w:rFonts w:ascii="Candara" w:hAnsi="Candara"/>
                <w:lang w:val="en-GB"/>
              </w:rPr>
            </w:pPr>
            <w:r w:rsidRPr="00D633B5">
              <w:rPr>
                <w:rFonts w:ascii="Candara" w:hAnsi="Candara"/>
                <w:lang w:val="en-GB"/>
              </w:rPr>
              <w:t>Tools</w:t>
            </w:r>
          </w:p>
        </w:tc>
        <w:tc>
          <w:tcPr>
            <w:tcW w:w="1339" w:type="pct"/>
            <w:tcBorders>
              <w:bottom w:val="single" w:sz="8" w:space="0" w:color="9DBCB0"/>
            </w:tcBorders>
            <w:shd w:val="clear" w:color="auto" w:fill="32746D"/>
            <w:vAlign w:val="center"/>
          </w:tcPr>
          <w:p w14:paraId="0C8601D0" w14:textId="77777777" w:rsidR="00CE7098" w:rsidRPr="00D633B5" w:rsidRDefault="00CE7098" w:rsidP="002F2FAD">
            <w:pPr>
              <w:pStyle w:val="Tabletitle"/>
              <w:rPr>
                <w:rFonts w:ascii="Candara" w:hAnsi="Candara"/>
                <w:lang w:val="en-GB"/>
              </w:rPr>
            </w:pPr>
            <w:r w:rsidRPr="00D633B5">
              <w:rPr>
                <w:rFonts w:ascii="Candara" w:hAnsi="Candara"/>
                <w:lang w:val="en-GB"/>
              </w:rPr>
              <w:t>Format/(Type)*</w:t>
            </w:r>
          </w:p>
        </w:tc>
        <w:tc>
          <w:tcPr>
            <w:tcW w:w="1939" w:type="pct"/>
            <w:tcBorders>
              <w:bottom w:val="single" w:sz="8" w:space="0" w:color="9DBCB0"/>
            </w:tcBorders>
            <w:shd w:val="clear" w:color="auto" w:fill="32746D"/>
            <w:vAlign w:val="center"/>
          </w:tcPr>
          <w:p w14:paraId="0C004D46" w14:textId="77777777" w:rsidR="00CE7098" w:rsidRPr="00D633B5" w:rsidRDefault="00CE7098" w:rsidP="002F2FAD">
            <w:pPr>
              <w:pStyle w:val="Tabletitle"/>
              <w:rPr>
                <w:rFonts w:ascii="Candara" w:hAnsi="Candara"/>
                <w:lang w:val="en-GB"/>
              </w:rPr>
            </w:pPr>
            <w:r w:rsidRPr="00D633B5">
              <w:rPr>
                <w:rFonts w:ascii="Candara" w:hAnsi="Candara"/>
                <w:lang w:val="en-GB"/>
              </w:rPr>
              <w:t>Description</w:t>
            </w:r>
          </w:p>
        </w:tc>
      </w:tr>
      <w:tr w:rsidR="008E3135" w:rsidRPr="00D633B5" w14:paraId="356E4B38" w14:textId="77777777" w:rsidTr="00CE7098">
        <w:trPr>
          <w:cantSplit/>
          <w:trHeight w:val="803"/>
        </w:trPr>
        <w:tc>
          <w:tcPr>
            <w:tcW w:w="670" w:type="pct"/>
          </w:tcPr>
          <w:p w14:paraId="605DA03B" w14:textId="372017E4" w:rsidR="008E3135" w:rsidRPr="00C65FE7" w:rsidRDefault="008E3135" w:rsidP="002F2FAD">
            <w:pPr>
              <w:pStyle w:val="Table"/>
              <w:jc w:val="left"/>
              <w:rPr>
                <w:rFonts w:ascii="Candara" w:hAnsi="Candara"/>
              </w:rPr>
            </w:pPr>
            <w:r w:rsidRPr="00C97795">
              <w:rPr>
                <w:rFonts w:ascii="Candara" w:hAnsi="Candara"/>
              </w:rPr>
              <w:t>BPR1</w:t>
            </w:r>
            <w:r w:rsidR="00021F13">
              <w:rPr>
                <w:rFonts w:ascii="Candara" w:hAnsi="Candara"/>
              </w:rPr>
              <w:t>-</w:t>
            </w:r>
            <w:r w:rsidRPr="00C97795">
              <w:rPr>
                <w:rFonts w:ascii="Candara" w:hAnsi="Candara"/>
              </w:rPr>
              <w:t>FAAC BPR Format</w:t>
            </w:r>
          </w:p>
        </w:tc>
        <w:tc>
          <w:tcPr>
            <w:tcW w:w="1052" w:type="pct"/>
          </w:tcPr>
          <w:p w14:paraId="02D8D805" w14:textId="294D3130" w:rsidR="008E3135" w:rsidRPr="00D633B5" w:rsidRDefault="008E3135" w:rsidP="002F2FAD">
            <w:pPr>
              <w:pStyle w:val="Table"/>
              <w:jc w:val="left"/>
              <w:rPr>
                <w:rFonts w:ascii="Candara" w:hAnsi="Candara"/>
              </w:rPr>
            </w:pPr>
            <w:r w:rsidRPr="00021F13">
              <w:rPr>
                <w:rFonts w:ascii="Candara" w:hAnsi="Candara"/>
              </w:rPr>
              <w:t>BPR Template (FAAC)</w:t>
            </w:r>
          </w:p>
        </w:tc>
        <w:tc>
          <w:tcPr>
            <w:tcW w:w="1339" w:type="pct"/>
          </w:tcPr>
          <w:p w14:paraId="53E3F076" w14:textId="5D32F885" w:rsidR="008E3135" w:rsidRPr="00D633B5" w:rsidRDefault="008E3135" w:rsidP="002F2FAD">
            <w:pPr>
              <w:pStyle w:val="Table"/>
              <w:jc w:val="center"/>
              <w:rPr>
                <w:rFonts w:ascii="Candara" w:hAnsi="Candara"/>
              </w:rPr>
            </w:pPr>
            <w:r w:rsidRPr="00D633B5">
              <w:rPr>
                <w:rFonts w:ascii="Candara" w:hAnsi="Candara"/>
              </w:rPr>
              <w:t>MS Excel</w:t>
            </w:r>
          </w:p>
        </w:tc>
        <w:tc>
          <w:tcPr>
            <w:tcW w:w="1939" w:type="pct"/>
          </w:tcPr>
          <w:p w14:paraId="6A8CC4FF" w14:textId="501CA0A7" w:rsidR="008E3135" w:rsidRPr="00D633B5" w:rsidRDefault="008E3135" w:rsidP="002F2FAD">
            <w:pPr>
              <w:pStyle w:val="Table"/>
              <w:jc w:val="left"/>
              <w:rPr>
                <w:rFonts w:ascii="Candara" w:hAnsi="Candara"/>
              </w:rPr>
            </w:pPr>
            <w:r w:rsidRPr="00D633B5">
              <w:rPr>
                <w:rFonts w:ascii="Candara" w:hAnsi="Candara"/>
              </w:rPr>
              <w:t xml:space="preserve">FAAC </w:t>
            </w:r>
            <w:r w:rsidR="00BF518E" w:rsidRPr="00D633B5">
              <w:rPr>
                <w:rFonts w:ascii="Candara" w:hAnsi="Candara"/>
              </w:rPr>
              <w:t>p</w:t>
            </w:r>
            <w:r w:rsidRPr="00D633B5">
              <w:rPr>
                <w:rFonts w:ascii="Candara" w:hAnsi="Candara"/>
              </w:rPr>
              <w:t xml:space="preserve">erformance </w:t>
            </w:r>
            <w:r w:rsidR="00BF518E" w:rsidRPr="00D633B5">
              <w:rPr>
                <w:rFonts w:ascii="Candara" w:hAnsi="Candara"/>
              </w:rPr>
              <w:t>m</w:t>
            </w:r>
            <w:r w:rsidR="00121FA0" w:rsidRPr="00D633B5">
              <w:rPr>
                <w:rFonts w:ascii="Candara" w:hAnsi="Candara"/>
              </w:rPr>
              <w:t xml:space="preserve">onthly </w:t>
            </w:r>
            <w:r w:rsidR="00BF518E" w:rsidRPr="00D633B5">
              <w:rPr>
                <w:rFonts w:ascii="Candara" w:hAnsi="Candara"/>
              </w:rPr>
              <w:t>r</w:t>
            </w:r>
            <w:r w:rsidRPr="00D633B5">
              <w:rPr>
                <w:rFonts w:ascii="Candara" w:hAnsi="Candara"/>
              </w:rPr>
              <w:t xml:space="preserve">eporting </w:t>
            </w:r>
            <w:r w:rsidR="00121FA0" w:rsidRPr="00D633B5">
              <w:rPr>
                <w:rFonts w:ascii="Candara" w:hAnsi="Candara"/>
              </w:rPr>
              <w:t>Format</w:t>
            </w:r>
          </w:p>
        </w:tc>
      </w:tr>
      <w:tr w:rsidR="00CE7098" w:rsidRPr="00D633B5" w14:paraId="2B39DA94" w14:textId="77777777" w:rsidTr="00CE7098">
        <w:trPr>
          <w:cantSplit/>
          <w:trHeight w:val="803"/>
        </w:trPr>
        <w:tc>
          <w:tcPr>
            <w:tcW w:w="670" w:type="pct"/>
          </w:tcPr>
          <w:p w14:paraId="2B7C11D6" w14:textId="77777777" w:rsidR="00CE7098" w:rsidRPr="00C65FE7" w:rsidRDefault="00CE7098" w:rsidP="002F2FAD">
            <w:pPr>
              <w:pStyle w:val="Table"/>
              <w:jc w:val="left"/>
              <w:rPr>
                <w:rFonts w:ascii="Candara" w:hAnsi="Candara"/>
              </w:rPr>
            </w:pPr>
            <w:r w:rsidRPr="00C97795">
              <w:rPr>
                <w:rFonts w:ascii="Candara" w:hAnsi="Candara"/>
              </w:rPr>
              <w:t>BPR2-B</w:t>
            </w:r>
          </w:p>
        </w:tc>
        <w:tc>
          <w:tcPr>
            <w:tcW w:w="1052" w:type="pct"/>
          </w:tcPr>
          <w:p w14:paraId="51C50E77" w14:textId="77777777" w:rsidR="00CE7098" w:rsidRPr="00D633B5" w:rsidRDefault="00CE7098" w:rsidP="002F2FAD">
            <w:pPr>
              <w:pStyle w:val="Table"/>
              <w:jc w:val="left"/>
              <w:rPr>
                <w:rFonts w:ascii="Candara" w:hAnsi="Candara"/>
              </w:rPr>
            </w:pPr>
            <w:r w:rsidRPr="00021F13">
              <w:rPr>
                <w:rFonts w:ascii="Candara" w:hAnsi="Candara"/>
              </w:rPr>
              <w:t>Diagnostic Questionnaire</w:t>
            </w:r>
          </w:p>
        </w:tc>
        <w:tc>
          <w:tcPr>
            <w:tcW w:w="1339" w:type="pct"/>
          </w:tcPr>
          <w:p w14:paraId="0FC8CF43" w14:textId="77777777" w:rsidR="00CE7098" w:rsidRPr="00D633B5" w:rsidRDefault="00CE7098" w:rsidP="002F2FAD">
            <w:pPr>
              <w:pStyle w:val="Table"/>
              <w:jc w:val="center"/>
              <w:rPr>
                <w:rFonts w:ascii="Candara" w:hAnsi="Candara"/>
              </w:rPr>
            </w:pPr>
            <w:r w:rsidRPr="00D633B5">
              <w:rPr>
                <w:rFonts w:ascii="Candara" w:hAnsi="Candara"/>
              </w:rPr>
              <w:t>White Label document (Word)</w:t>
            </w:r>
          </w:p>
        </w:tc>
        <w:tc>
          <w:tcPr>
            <w:tcW w:w="1939" w:type="pct"/>
          </w:tcPr>
          <w:p w14:paraId="25C403A0" w14:textId="2E859EA1" w:rsidR="00CE7098" w:rsidRPr="00D633B5" w:rsidRDefault="00CE7098" w:rsidP="002F2FAD">
            <w:pPr>
              <w:pStyle w:val="Table"/>
              <w:jc w:val="left"/>
              <w:rPr>
                <w:rFonts w:ascii="Candara" w:hAnsi="Candara"/>
              </w:rPr>
            </w:pPr>
            <w:r w:rsidRPr="00D633B5">
              <w:rPr>
                <w:rFonts w:ascii="Candara" w:hAnsi="Candara"/>
              </w:rPr>
              <w:t xml:space="preserve">Table for compiling the findings from the Desk Review and Interviews with government.  </w:t>
            </w:r>
          </w:p>
        </w:tc>
      </w:tr>
      <w:tr w:rsidR="00CE7098" w:rsidRPr="00D633B5" w14:paraId="2B86BAB1" w14:textId="77777777" w:rsidTr="00CE7098">
        <w:trPr>
          <w:cantSplit/>
          <w:trHeight w:val="584"/>
        </w:trPr>
        <w:tc>
          <w:tcPr>
            <w:tcW w:w="670" w:type="pct"/>
            <w:tcBorders>
              <w:top w:val="single" w:sz="8" w:space="0" w:color="9DBCB0"/>
              <w:left w:val="single" w:sz="8" w:space="0" w:color="9DBCB0"/>
              <w:bottom w:val="single" w:sz="8" w:space="0" w:color="9DBCB0"/>
              <w:right w:val="single" w:sz="8" w:space="0" w:color="9DBCB0"/>
            </w:tcBorders>
          </w:tcPr>
          <w:p w14:paraId="05316F11" w14:textId="77777777" w:rsidR="00CE7098" w:rsidRPr="00C65FE7" w:rsidRDefault="00CE7098" w:rsidP="002F2FAD">
            <w:pPr>
              <w:pStyle w:val="Table"/>
              <w:jc w:val="left"/>
              <w:rPr>
                <w:rFonts w:ascii="Candara" w:hAnsi="Candara"/>
              </w:rPr>
            </w:pPr>
            <w:r w:rsidRPr="00C97795">
              <w:rPr>
                <w:rFonts w:ascii="Candara" w:hAnsi="Candara"/>
              </w:rPr>
              <w:t>BPR3-A</w:t>
            </w:r>
          </w:p>
        </w:tc>
        <w:tc>
          <w:tcPr>
            <w:tcW w:w="1052" w:type="pct"/>
            <w:tcBorders>
              <w:top w:val="single" w:sz="8" w:space="0" w:color="9DBCB0"/>
              <w:left w:val="single" w:sz="8" w:space="0" w:color="9DBCB0"/>
              <w:bottom w:val="single" w:sz="8" w:space="0" w:color="9DBCB0"/>
              <w:right w:val="single" w:sz="8" w:space="0" w:color="9DBCB0"/>
            </w:tcBorders>
          </w:tcPr>
          <w:p w14:paraId="547E950C" w14:textId="77777777" w:rsidR="00CE7098" w:rsidRPr="00D633B5" w:rsidRDefault="00CE7098" w:rsidP="002F2FAD">
            <w:pPr>
              <w:pStyle w:val="Table"/>
              <w:jc w:val="left"/>
              <w:rPr>
                <w:rFonts w:ascii="Candara" w:hAnsi="Candara"/>
              </w:rPr>
            </w:pPr>
            <w:r w:rsidRPr="00021F13">
              <w:rPr>
                <w:rFonts w:ascii="Candara" w:hAnsi="Candara"/>
              </w:rPr>
              <w:t>BPR Template – Period (Quarterly)</w:t>
            </w:r>
          </w:p>
        </w:tc>
        <w:tc>
          <w:tcPr>
            <w:tcW w:w="1339" w:type="pct"/>
            <w:tcBorders>
              <w:top w:val="single" w:sz="8" w:space="0" w:color="9DBCB0"/>
              <w:left w:val="single" w:sz="8" w:space="0" w:color="9DBCB0"/>
              <w:bottom w:val="single" w:sz="8" w:space="0" w:color="9DBCB0"/>
              <w:right w:val="single" w:sz="8" w:space="0" w:color="9DBCB0"/>
            </w:tcBorders>
          </w:tcPr>
          <w:p w14:paraId="1728DE34" w14:textId="77777777" w:rsidR="00CE7098" w:rsidRPr="00D633B5" w:rsidRDefault="00CE7098" w:rsidP="002F2FAD">
            <w:pPr>
              <w:pStyle w:val="Table"/>
              <w:jc w:val="center"/>
              <w:rPr>
                <w:rFonts w:ascii="Candara" w:hAnsi="Candara"/>
              </w:rPr>
            </w:pPr>
            <w:r w:rsidRPr="00D633B5">
              <w:rPr>
                <w:rFonts w:ascii="Candara" w:hAnsi="Candara"/>
              </w:rPr>
              <w:t>MS Excel</w:t>
            </w:r>
          </w:p>
        </w:tc>
        <w:tc>
          <w:tcPr>
            <w:tcW w:w="1939" w:type="pct"/>
            <w:tcBorders>
              <w:top w:val="single" w:sz="8" w:space="0" w:color="9DBCB0"/>
              <w:left w:val="single" w:sz="8" w:space="0" w:color="9DBCB0"/>
              <w:bottom w:val="single" w:sz="8" w:space="0" w:color="9DBCB0"/>
              <w:right w:val="single" w:sz="8" w:space="0" w:color="9DBCB0"/>
            </w:tcBorders>
          </w:tcPr>
          <w:p w14:paraId="15E13980" w14:textId="77777777" w:rsidR="00CE7098" w:rsidRPr="00D633B5" w:rsidRDefault="00CE7098" w:rsidP="002F2FAD">
            <w:pPr>
              <w:pStyle w:val="Table"/>
              <w:jc w:val="left"/>
              <w:rPr>
                <w:rFonts w:ascii="Candara" w:hAnsi="Candara"/>
              </w:rPr>
            </w:pPr>
            <w:r w:rsidRPr="00D633B5">
              <w:rPr>
                <w:rFonts w:ascii="Candara" w:hAnsi="Candara"/>
              </w:rPr>
              <w:t xml:space="preserve">MS Excel spreadsheet template for preparing Quarterly Budget Performance Reports – data entry for actuals is by quarter </w:t>
            </w:r>
          </w:p>
        </w:tc>
      </w:tr>
      <w:tr w:rsidR="00CE7098" w:rsidRPr="00D633B5" w14:paraId="4EF0280C" w14:textId="77777777" w:rsidTr="00CE7098">
        <w:trPr>
          <w:cantSplit/>
          <w:trHeight w:val="578"/>
        </w:trPr>
        <w:tc>
          <w:tcPr>
            <w:tcW w:w="670" w:type="pct"/>
          </w:tcPr>
          <w:p w14:paraId="6AB4EF5D" w14:textId="77777777" w:rsidR="00CE7098" w:rsidRPr="00C65FE7" w:rsidRDefault="00CE7098" w:rsidP="002F2FAD">
            <w:pPr>
              <w:pStyle w:val="Table"/>
              <w:jc w:val="left"/>
              <w:rPr>
                <w:rFonts w:ascii="Candara" w:hAnsi="Candara"/>
              </w:rPr>
            </w:pPr>
            <w:r w:rsidRPr="00C97795">
              <w:rPr>
                <w:rFonts w:ascii="Candara" w:hAnsi="Candara"/>
              </w:rPr>
              <w:t>BPR3-B</w:t>
            </w:r>
          </w:p>
        </w:tc>
        <w:tc>
          <w:tcPr>
            <w:tcW w:w="1052" w:type="pct"/>
          </w:tcPr>
          <w:p w14:paraId="3A4FC589" w14:textId="77777777" w:rsidR="00CE7098" w:rsidRPr="00D633B5" w:rsidRDefault="00CE7098" w:rsidP="002F2FAD">
            <w:pPr>
              <w:pStyle w:val="Table"/>
              <w:jc w:val="left"/>
              <w:rPr>
                <w:rFonts w:ascii="Candara" w:hAnsi="Candara"/>
              </w:rPr>
            </w:pPr>
            <w:r w:rsidRPr="00021F13">
              <w:rPr>
                <w:rFonts w:ascii="Candara" w:hAnsi="Candara"/>
              </w:rPr>
              <w:t>BPR Template – Date</w:t>
            </w:r>
          </w:p>
        </w:tc>
        <w:tc>
          <w:tcPr>
            <w:tcW w:w="1339" w:type="pct"/>
          </w:tcPr>
          <w:p w14:paraId="2159F130" w14:textId="77777777" w:rsidR="00CE7098" w:rsidRPr="00D633B5" w:rsidRDefault="00CE7098" w:rsidP="002F2FAD">
            <w:pPr>
              <w:pStyle w:val="Table"/>
              <w:jc w:val="center"/>
              <w:rPr>
                <w:rFonts w:ascii="Candara" w:hAnsi="Candara"/>
              </w:rPr>
            </w:pPr>
            <w:r w:rsidRPr="00D633B5">
              <w:rPr>
                <w:rFonts w:ascii="Candara" w:hAnsi="Candara"/>
              </w:rPr>
              <w:t>MS Excel</w:t>
            </w:r>
          </w:p>
        </w:tc>
        <w:tc>
          <w:tcPr>
            <w:tcW w:w="1939" w:type="pct"/>
          </w:tcPr>
          <w:p w14:paraId="12867ECE" w14:textId="7E5F69C9" w:rsidR="00CE7098" w:rsidRPr="00D633B5" w:rsidRDefault="00CE7098" w:rsidP="002F2FAD">
            <w:pPr>
              <w:pStyle w:val="Table"/>
              <w:jc w:val="left"/>
              <w:rPr>
                <w:rFonts w:ascii="Candara" w:hAnsi="Candara"/>
              </w:rPr>
            </w:pPr>
            <w:r w:rsidRPr="00D633B5">
              <w:rPr>
                <w:rFonts w:ascii="Candara" w:hAnsi="Candara"/>
              </w:rPr>
              <w:t>MS Excel spreadsheet template for preparing Quarterly Budget Performance Reports – data entry for actuals is by date</w:t>
            </w:r>
          </w:p>
        </w:tc>
      </w:tr>
      <w:tr w:rsidR="00CE7098" w:rsidRPr="00D633B5" w14:paraId="609A9D9B" w14:textId="77777777" w:rsidTr="00CE7098">
        <w:trPr>
          <w:cantSplit/>
          <w:trHeight w:val="359"/>
        </w:trPr>
        <w:tc>
          <w:tcPr>
            <w:tcW w:w="670" w:type="pct"/>
          </w:tcPr>
          <w:p w14:paraId="6E3D2834" w14:textId="77777777" w:rsidR="00CE7098" w:rsidRPr="00C65FE7" w:rsidRDefault="00CE7098" w:rsidP="002F2FAD">
            <w:pPr>
              <w:pStyle w:val="Table"/>
              <w:jc w:val="left"/>
              <w:rPr>
                <w:rFonts w:ascii="Candara" w:hAnsi="Candara"/>
              </w:rPr>
            </w:pPr>
            <w:r w:rsidRPr="00C97795">
              <w:rPr>
                <w:rFonts w:ascii="Candara" w:hAnsi="Candara"/>
              </w:rPr>
              <w:t>BPR3-C</w:t>
            </w:r>
          </w:p>
        </w:tc>
        <w:tc>
          <w:tcPr>
            <w:tcW w:w="1052" w:type="pct"/>
          </w:tcPr>
          <w:p w14:paraId="3B3C368C" w14:textId="77777777" w:rsidR="00CE7098" w:rsidRPr="00D633B5" w:rsidRDefault="00CE7098" w:rsidP="002F2FAD">
            <w:pPr>
              <w:pStyle w:val="Table"/>
              <w:jc w:val="left"/>
              <w:rPr>
                <w:rFonts w:ascii="Candara" w:hAnsi="Candara"/>
              </w:rPr>
            </w:pPr>
            <w:r w:rsidRPr="00021F13">
              <w:rPr>
                <w:rFonts w:ascii="Candara" w:hAnsi="Candara"/>
              </w:rPr>
              <w:t>BPR Publication Template</w:t>
            </w:r>
          </w:p>
        </w:tc>
        <w:tc>
          <w:tcPr>
            <w:tcW w:w="1339" w:type="pct"/>
          </w:tcPr>
          <w:p w14:paraId="100562D1" w14:textId="77777777" w:rsidR="00CE7098" w:rsidRPr="00D633B5" w:rsidRDefault="00CE7098" w:rsidP="002F2FAD">
            <w:pPr>
              <w:pStyle w:val="Table"/>
              <w:jc w:val="center"/>
              <w:rPr>
                <w:rFonts w:ascii="Candara" w:hAnsi="Candara"/>
              </w:rPr>
            </w:pPr>
            <w:r w:rsidRPr="00D633B5">
              <w:rPr>
                <w:rFonts w:ascii="Candara" w:hAnsi="Candara"/>
              </w:rPr>
              <w:t>White Label document (Word)</w:t>
            </w:r>
          </w:p>
        </w:tc>
        <w:tc>
          <w:tcPr>
            <w:tcW w:w="1939" w:type="pct"/>
          </w:tcPr>
          <w:p w14:paraId="39ACAA1E" w14:textId="77777777" w:rsidR="00CE7098" w:rsidRPr="00D633B5" w:rsidRDefault="00CE7098" w:rsidP="002F2FAD">
            <w:pPr>
              <w:pStyle w:val="Table"/>
              <w:jc w:val="left"/>
              <w:rPr>
                <w:rFonts w:ascii="Candara" w:hAnsi="Candara"/>
              </w:rPr>
            </w:pPr>
            <w:r w:rsidRPr="00D633B5">
              <w:rPr>
                <w:rFonts w:ascii="Candara" w:hAnsi="Candara"/>
              </w:rPr>
              <w:t>MS Word Template into which BPR Reports can be pasted</w:t>
            </w:r>
          </w:p>
        </w:tc>
      </w:tr>
      <w:tr w:rsidR="00CE7098" w:rsidRPr="00D633B5" w14:paraId="0B9BE8B5" w14:textId="77777777" w:rsidTr="00CE7098">
        <w:trPr>
          <w:cantSplit/>
          <w:trHeight w:val="249"/>
        </w:trPr>
        <w:tc>
          <w:tcPr>
            <w:tcW w:w="670" w:type="pct"/>
          </w:tcPr>
          <w:p w14:paraId="269D308E" w14:textId="77777777" w:rsidR="00CE7098" w:rsidRPr="00C65FE7" w:rsidRDefault="00CE7098" w:rsidP="002F2FAD">
            <w:pPr>
              <w:pStyle w:val="Table"/>
              <w:jc w:val="left"/>
              <w:rPr>
                <w:rFonts w:ascii="Candara" w:hAnsi="Candara"/>
              </w:rPr>
            </w:pPr>
            <w:r w:rsidRPr="00C97795">
              <w:rPr>
                <w:rFonts w:ascii="Candara" w:hAnsi="Candara"/>
              </w:rPr>
              <w:t>BPR3-D</w:t>
            </w:r>
          </w:p>
        </w:tc>
        <w:tc>
          <w:tcPr>
            <w:tcW w:w="1052" w:type="pct"/>
          </w:tcPr>
          <w:p w14:paraId="775C8AFA" w14:textId="77777777" w:rsidR="00CE7098" w:rsidRPr="00D633B5" w:rsidRDefault="00CE7098" w:rsidP="002F2FAD">
            <w:pPr>
              <w:pStyle w:val="Table"/>
              <w:jc w:val="left"/>
              <w:rPr>
                <w:rFonts w:ascii="Candara" w:hAnsi="Candara"/>
              </w:rPr>
            </w:pPr>
            <w:r w:rsidRPr="00021F13">
              <w:rPr>
                <w:rFonts w:ascii="Candara" w:hAnsi="Candara"/>
              </w:rPr>
              <w:t>BPR Template Instructions</w:t>
            </w:r>
          </w:p>
        </w:tc>
        <w:tc>
          <w:tcPr>
            <w:tcW w:w="1339" w:type="pct"/>
          </w:tcPr>
          <w:p w14:paraId="344C9F64" w14:textId="77777777" w:rsidR="00CE7098" w:rsidRPr="00D633B5" w:rsidRDefault="00CE7098" w:rsidP="002F2FAD">
            <w:pPr>
              <w:pStyle w:val="Table"/>
              <w:jc w:val="center"/>
              <w:rPr>
                <w:rFonts w:ascii="Candara" w:hAnsi="Candara"/>
              </w:rPr>
            </w:pPr>
            <w:r w:rsidRPr="00D633B5">
              <w:rPr>
                <w:rFonts w:ascii="Candara" w:hAnsi="Candara"/>
              </w:rPr>
              <w:t>White Label document (Word)</w:t>
            </w:r>
          </w:p>
        </w:tc>
        <w:tc>
          <w:tcPr>
            <w:tcW w:w="1939" w:type="pct"/>
          </w:tcPr>
          <w:p w14:paraId="7A8BA1DB" w14:textId="77777777" w:rsidR="00CE7098" w:rsidRPr="00D633B5" w:rsidRDefault="00CE7098" w:rsidP="002F2FAD">
            <w:pPr>
              <w:pStyle w:val="Table"/>
              <w:jc w:val="left"/>
              <w:rPr>
                <w:rFonts w:ascii="Candara" w:hAnsi="Candara"/>
              </w:rPr>
            </w:pPr>
            <w:r w:rsidRPr="00D633B5">
              <w:rPr>
                <w:rFonts w:ascii="Candara" w:hAnsi="Candara"/>
              </w:rPr>
              <w:t>User Instructions for the BPR Templates</w:t>
            </w:r>
          </w:p>
        </w:tc>
      </w:tr>
      <w:tr w:rsidR="00CE7098" w:rsidRPr="00D633B5" w14:paraId="2E6022FF" w14:textId="77777777" w:rsidTr="00CE7098">
        <w:trPr>
          <w:cantSplit/>
          <w:trHeight w:val="913"/>
        </w:trPr>
        <w:tc>
          <w:tcPr>
            <w:tcW w:w="670" w:type="pct"/>
          </w:tcPr>
          <w:p w14:paraId="0F3C7872" w14:textId="7FF5E275" w:rsidR="00CE7098" w:rsidRPr="00C65FE7" w:rsidRDefault="00CE7098" w:rsidP="00E35DA1">
            <w:pPr>
              <w:pStyle w:val="Table"/>
              <w:jc w:val="left"/>
              <w:rPr>
                <w:rFonts w:ascii="Candara" w:hAnsi="Candara"/>
              </w:rPr>
            </w:pPr>
            <w:r w:rsidRPr="00C97795">
              <w:rPr>
                <w:rFonts w:ascii="Candara" w:hAnsi="Candara"/>
              </w:rPr>
              <w:t>BPR4</w:t>
            </w:r>
          </w:p>
        </w:tc>
        <w:tc>
          <w:tcPr>
            <w:tcW w:w="1052" w:type="pct"/>
          </w:tcPr>
          <w:p w14:paraId="1DE5568D" w14:textId="0B34640F" w:rsidR="00CE7098" w:rsidRPr="00D633B5" w:rsidRDefault="00CE7098" w:rsidP="00E35DA1">
            <w:pPr>
              <w:pStyle w:val="Table"/>
              <w:jc w:val="left"/>
              <w:rPr>
                <w:rFonts w:ascii="Candara" w:hAnsi="Candara"/>
              </w:rPr>
            </w:pPr>
            <w:r w:rsidRPr="00021F13">
              <w:rPr>
                <w:rFonts w:ascii="Candara" w:hAnsi="Candara"/>
              </w:rPr>
              <w:t xml:space="preserve">Annual Performance Assessment </w:t>
            </w:r>
            <w:r w:rsidRPr="00D633B5">
              <w:rPr>
                <w:rFonts w:ascii="Candara" w:hAnsi="Candara"/>
              </w:rPr>
              <w:t>Guideline and Verification Protocol</w:t>
            </w:r>
          </w:p>
        </w:tc>
        <w:tc>
          <w:tcPr>
            <w:tcW w:w="1339" w:type="pct"/>
          </w:tcPr>
          <w:p w14:paraId="02362E5A" w14:textId="73EF5011" w:rsidR="00CE7098" w:rsidRPr="00D633B5" w:rsidRDefault="00CE7098" w:rsidP="00E35DA1">
            <w:pPr>
              <w:pStyle w:val="Table"/>
              <w:jc w:val="center"/>
              <w:rPr>
                <w:rFonts w:ascii="Candara" w:hAnsi="Candara"/>
              </w:rPr>
            </w:pPr>
            <w:r w:rsidRPr="00D633B5">
              <w:rPr>
                <w:rFonts w:ascii="Candara" w:hAnsi="Candara"/>
              </w:rPr>
              <w:t>Word Document</w:t>
            </w:r>
          </w:p>
        </w:tc>
        <w:tc>
          <w:tcPr>
            <w:tcW w:w="1939" w:type="pct"/>
          </w:tcPr>
          <w:p w14:paraId="739CDEFA" w14:textId="3EDF8AFC" w:rsidR="00CE7098" w:rsidRPr="00D633B5" w:rsidRDefault="00CE7098" w:rsidP="00E35DA1">
            <w:pPr>
              <w:pStyle w:val="Table"/>
              <w:jc w:val="left"/>
              <w:rPr>
                <w:rFonts w:ascii="Candara" w:hAnsi="Candara"/>
              </w:rPr>
            </w:pPr>
            <w:r w:rsidRPr="00D633B5">
              <w:rPr>
                <w:rFonts w:ascii="Candara" w:hAnsi="Candara"/>
              </w:rPr>
              <w:t>Provides information for participating States on the SFTAS PforR Eligibility Criteria, Disbursement-Linked Indicators (DLIs) and Results, Annual Performance Assessment (APA) and Verification Protocol</w:t>
            </w:r>
          </w:p>
        </w:tc>
      </w:tr>
      <w:tr w:rsidR="008E3135" w:rsidRPr="00D633B5" w14:paraId="08F05445" w14:textId="77777777" w:rsidTr="00CE7098">
        <w:trPr>
          <w:cantSplit/>
          <w:trHeight w:val="913"/>
        </w:trPr>
        <w:tc>
          <w:tcPr>
            <w:tcW w:w="670" w:type="pct"/>
          </w:tcPr>
          <w:p w14:paraId="46C4AFD2" w14:textId="047DCB66" w:rsidR="008E3135" w:rsidRPr="00C65FE7" w:rsidRDefault="008E3135" w:rsidP="00E35DA1">
            <w:pPr>
              <w:pStyle w:val="Table"/>
              <w:jc w:val="left"/>
              <w:rPr>
                <w:rFonts w:ascii="Candara" w:hAnsi="Candara"/>
              </w:rPr>
            </w:pPr>
            <w:r w:rsidRPr="00C97795">
              <w:rPr>
                <w:rFonts w:ascii="Candara" w:hAnsi="Candara"/>
              </w:rPr>
              <w:t>BPR5</w:t>
            </w:r>
          </w:p>
        </w:tc>
        <w:tc>
          <w:tcPr>
            <w:tcW w:w="1052" w:type="pct"/>
          </w:tcPr>
          <w:p w14:paraId="0299EB0D" w14:textId="35ABD36C" w:rsidR="008E3135" w:rsidRPr="00D633B5" w:rsidRDefault="008E3135" w:rsidP="00E35DA1">
            <w:pPr>
              <w:pStyle w:val="Table"/>
              <w:jc w:val="left"/>
              <w:rPr>
                <w:rFonts w:ascii="Candara" w:hAnsi="Candara"/>
              </w:rPr>
            </w:pPr>
            <w:r w:rsidRPr="00021F13">
              <w:rPr>
                <w:rFonts w:ascii="Candara" w:hAnsi="Candara"/>
              </w:rPr>
              <w:t>Relevant PEFA Indicators and Best Practice</w:t>
            </w:r>
          </w:p>
        </w:tc>
        <w:tc>
          <w:tcPr>
            <w:tcW w:w="1339" w:type="pct"/>
          </w:tcPr>
          <w:p w14:paraId="65DB0A71" w14:textId="1A6E3281" w:rsidR="008E3135" w:rsidRPr="00D633B5" w:rsidRDefault="008E3135" w:rsidP="00E35DA1">
            <w:pPr>
              <w:pStyle w:val="Table"/>
              <w:jc w:val="center"/>
              <w:rPr>
                <w:rFonts w:ascii="Candara" w:hAnsi="Candara"/>
              </w:rPr>
            </w:pPr>
            <w:r w:rsidRPr="00D633B5">
              <w:rPr>
                <w:rFonts w:ascii="Candara" w:hAnsi="Candara"/>
              </w:rPr>
              <w:t>Word Document</w:t>
            </w:r>
          </w:p>
        </w:tc>
        <w:tc>
          <w:tcPr>
            <w:tcW w:w="1939" w:type="pct"/>
          </w:tcPr>
          <w:p w14:paraId="1F2C7E27" w14:textId="1F200B77" w:rsidR="008E3135" w:rsidRPr="00D633B5" w:rsidRDefault="008E3135" w:rsidP="00E35DA1">
            <w:pPr>
              <w:pStyle w:val="Table"/>
              <w:jc w:val="left"/>
              <w:rPr>
                <w:rFonts w:ascii="Candara" w:hAnsi="Candara"/>
              </w:rPr>
            </w:pPr>
            <w:r w:rsidRPr="00D633B5">
              <w:rPr>
                <w:rFonts w:ascii="Candara" w:hAnsi="Candara"/>
              </w:rPr>
              <w:t>Provides an overview of relevant PEFA indicators and best practice</w:t>
            </w:r>
          </w:p>
        </w:tc>
      </w:tr>
    </w:tbl>
    <w:p w14:paraId="64A8BA0C" w14:textId="13B79088" w:rsidR="00E552D5" w:rsidRPr="00021F13" w:rsidRDefault="00FA7510" w:rsidP="00E552D5">
      <w:pPr>
        <w:rPr>
          <w:rFonts w:ascii="Candara" w:hAnsi="Candara"/>
          <w:b/>
          <w:u w:val="single"/>
        </w:rPr>
      </w:pPr>
      <w:r w:rsidRPr="00C97795">
        <w:rPr>
          <w:rFonts w:ascii="Candara" w:hAnsi="Candara"/>
          <w:b/>
          <w:u w:val="single"/>
        </w:rPr>
        <w:t>* Note</w:t>
      </w:r>
      <w:r w:rsidR="00943C12" w:rsidRPr="00C65FE7">
        <w:rPr>
          <w:rFonts w:ascii="Candara" w:hAnsi="Candara"/>
          <w:b/>
          <w:u w:val="single"/>
        </w:rPr>
        <w:t>:</w:t>
      </w:r>
      <w:r w:rsidRPr="00021F13">
        <w:rPr>
          <w:rFonts w:ascii="Candara" w:hAnsi="Candara"/>
          <w:b/>
          <w:u w:val="single"/>
        </w:rPr>
        <w:t xml:space="preserve"> the MS Excel based tools will only work on genuine MS Excel, 2010 or later. </w:t>
      </w:r>
    </w:p>
    <w:bookmarkEnd w:id="11"/>
    <w:p w14:paraId="6EB1E6BB" w14:textId="649F4537" w:rsidR="00E10DC6" w:rsidRPr="00D633B5" w:rsidRDefault="00650B35" w:rsidP="009227EF">
      <w:pPr>
        <w:pStyle w:val="Heading1"/>
        <w:tabs>
          <w:tab w:val="left" w:pos="567"/>
        </w:tabs>
        <w:ind w:left="709" w:hanging="709"/>
        <w:rPr>
          <w:rFonts w:ascii="Candara" w:hAnsi="Candara"/>
        </w:rPr>
      </w:pPr>
      <w:r w:rsidRPr="00D633B5">
        <w:rPr>
          <w:rFonts w:ascii="Candara" w:hAnsi="Candara"/>
        </w:rPr>
        <w:lastRenderedPageBreak/>
        <w:t>4.</w:t>
      </w:r>
      <w:r w:rsidRPr="00D633B5">
        <w:rPr>
          <w:rFonts w:ascii="Candara" w:hAnsi="Candara"/>
        </w:rPr>
        <w:tab/>
        <w:t>Processes and Procedures for Budget Performance Reporting</w:t>
      </w:r>
    </w:p>
    <w:p w14:paraId="6ACBCF49" w14:textId="2C192AED" w:rsidR="00E10DC6" w:rsidRPr="00D633B5" w:rsidRDefault="00650B35" w:rsidP="009227EF">
      <w:pPr>
        <w:pStyle w:val="Heading2"/>
        <w:numPr>
          <w:ilvl w:val="1"/>
          <w:numId w:val="0"/>
        </w:numPr>
        <w:ind w:left="576" w:hanging="576"/>
        <w:rPr>
          <w:rFonts w:ascii="Candara" w:hAnsi="Candara"/>
        </w:rPr>
      </w:pPr>
      <w:bookmarkStart w:id="12" w:name="_Toc39746416"/>
      <w:r w:rsidRPr="00D633B5">
        <w:rPr>
          <w:rFonts w:ascii="Candara" w:hAnsi="Candara"/>
        </w:rPr>
        <w:t>4.1</w:t>
      </w:r>
      <w:r w:rsidRPr="00D633B5">
        <w:rPr>
          <w:rFonts w:ascii="Candara" w:hAnsi="Candara"/>
        </w:rPr>
        <w:tab/>
      </w:r>
      <w:r w:rsidR="00E10DC6" w:rsidRPr="00D633B5">
        <w:rPr>
          <w:rFonts w:ascii="Candara" w:hAnsi="Candara"/>
        </w:rPr>
        <w:t>Roles and Responsibilities</w:t>
      </w:r>
      <w:bookmarkEnd w:id="12"/>
      <w:r w:rsidR="00E10DC6" w:rsidRPr="00D633B5">
        <w:rPr>
          <w:rFonts w:ascii="Candara" w:hAnsi="Candara"/>
        </w:rPr>
        <w:t xml:space="preserve"> </w:t>
      </w:r>
    </w:p>
    <w:p w14:paraId="27DC1EDA" w14:textId="065E87C4" w:rsidR="00E10DC6" w:rsidRPr="00D633B5" w:rsidRDefault="00E10DC6" w:rsidP="00E10DC6">
      <w:pPr>
        <w:pStyle w:val="NumberedParagraph"/>
        <w:numPr>
          <w:ilvl w:val="0"/>
          <w:numId w:val="10"/>
        </w:numPr>
        <w:rPr>
          <w:rFonts w:ascii="Candara" w:hAnsi="Candara"/>
        </w:rPr>
      </w:pPr>
      <w:r w:rsidRPr="00D633B5">
        <w:rPr>
          <w:rFonts w:ascii="Candara" w:hAnsi="Candara"/>
        </w:rPr>
        <w:t>The responsibility for producing the Budget Performance Reports should ideally reside with a department that has easy access to both budget and, more importantly, actuals data.  Typically, this would be the Final Accounts Department within the office of the Account</w:t>
      </w:r>
      <w:r w:rsidR="00650B35" w:rsidRPr="00D633B5">
        <w:rPr>
          <w:rFonts w:ascii="Candara" w:hAnsi="Candara"/>
        </w:rPr>
        <w:t>ant</w:t>
      </w:r>
      <w:r w:rsidRPr="00D633B5">
        <w:rPr>
          <w:rFonts w:ascii="Candara" w:hAnsi="Candara"/>
        </w:rPr>
        <w:t xml:space="preserve"> General</w:t>
      </w:r>
      <w:r w:rsidR="00650B35" w:rsidRPr="00D633B5">
        <w:rPr>
          <w:rFonts w:ascii="Candara" w:hAnsi="Candara"/>
        </w:rPr>
        <w:t xml:space="preserve"> and Budget Department in the Ministry of Budget and Planning (or equivalent)</w:t>
      </w:r>
      <w:r w:rsidRPr="00D633B5">
        <w:rPr>
          <w:rFonts w:ascii="Candara" w:hAnsi="Candara"/>
        </w:rPr>
        <w:t xml:space="preserve">.  </w:t>
      </w:r>
    </w:p>
    <w:p w14:paraId="42986A6F"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It should also be agreed to whom, internally within government, the reports are distributed too, and how. Users of these reports will include ExCo and SHoA, MDAs, Budget Department, and others. </w:t>
      </w:r>
    </w:p>
    <w:p w14:paraId="3D09ECD1"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The administrator of the State Government website should also be responsible for uploading the reports for public consumption. </w:t>
      </w:r>
    </w:p>
    <w:p w14:paraId="40CED93B" w14:textId="5BBAD220" w:rsidR="00E10DC6" w:rsidRPr="00D633B5" w:rsidRDefault="00B60677" w:rsidP="009227EF">
      <w:pPr>
        <w:pStyle w:val="Heading2"/>
        <w:numPr>
          <w:ilvl w:val="1"/>
          <w:numId w:val="0"/>
        </w:numPr>
        <w:ind w:left="576" w:hanging="576"/>
        <w:rPr>
          <w:rFonts w:ascii="Candara" w:hAnsi="Candara"/>
        </w:rPr>
      </w:pPr>
      <w:bookmarkStart w:id="13" w:name="_Ref27486199"/>
      <w:bookmarkStart w:id="14" w:name="_Toc39746417"/>
      <w:r w:rsidRPr="00D633B5">
        <w:rPr>
          <w:rFonts w:ascii="Candara" w:hAnsi="Candara"/>
        </w:rPr>
        <w:t>4.2</w:t>
      </w:r>
      <w:r w:rsidRPr="00D633B5">
        <w:rPr>
          <w:rFonts w:ascii="Candara" w:hAnsi="Candara"/>
        </w:rPr>
        <w:tab/>
      </w:r>
      <w:r w:rsidR="00E10DC6" w:rsidRPr="00D633B5">
        <w:rPr>
          <w:rFonts w:ascii="Candara" w:hAnsi="Candara"/>
        </w:rPr>
        <w:t>Load State Chart of Accounts segments to MS Excel Template</w:t>
      </w:r>
      <w:bookmarkEnd w:id="13"/>
      <w:bookmarkEnd w:id="14"/>
    </w:p>
    <w:p w14:paraId="5A7074F7"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In order to populate the report formats, the </w:t>
      </w:r>
      <w:r w:rsidRPr="00D633B5">
        <w:rPr>
          <w:rFonts w:ascii="Candara" w:hAnsi="Candara"/>
          <w:b/>
          <w:u w:val="single"/>
        </w:rPr>
        <w:t>BPR Template</w:t>
      </w:r>
      <w:r w:rsidRPr="00D633B5">
        <w:rPr>
          <w:rFonts w:ascii="Candara" w:hAnsi="Candara"/>
        </w:rPr>
        <w:t xml:space="preserve"> needs to be populated with two segments of the chart of accounts – economic (revenue and expenditure) and administrative are mandatory, functional and location have also been provided (for expenditure only). </w:t>
      </w:r>
    </w:p>
    <w:p w14:paraId="2743FAFA"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Instructions on how to load the Chart of Accounts is provided in the </w:t>
      </w:r>
      <w:r w:rsidRPr="00D633B5">
        <w:rPr>
          <w:rFonts w:ascii="Candara" w:hAnsi="Candara"/>
          <w:b/>
          <w:bCs/>
          <w:u w:val="single"/>
        </w:rPr>
        <w:t>BPR Instructions template</w:t>
      </w:r>
      <w:r w:rsidRPr="00D633B5">
        <w:rPr>
          <w:rFonts w:ascii="Candara" w:hAnsi="Candara"/>
        </w:rPr>
        <w:t xml:space="preserve">, and the Chart of Accounts should be generated by the Chart of Accounts tool and be consistent with the Budget Formulation and Compilation tools provided in other SFTAS Toolkits. </w:t>
      </w:r>
    </w:p>
    <w:p w14:paraId="76001B17"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The worksheets for the budget classification typically look like the below. </w:t>
      </w:r>
    </w:p>
    <w:p w14:paraId="7D1C2C20" w14:textId="7A56AAA0" w:rsidR="00E10DC6" w:rsidRPr="00D633B5" w:rsidRDefault="00E10DC6" w:rsidP="00E10DC6">
      <w:pPr>
        <w:pStyle w:val="Caption"/>
        <w:ind w:left="567"/>
        <w:rPr>
          <w:rFonts w:ascii="Candara" w:hAnsi="Candara"/>
        </w:rPr>
      </w:pPr>
      <w:bookmarkStart w:id="15" w:name="_Toc39746437"/>
      <w:r w:rsidRPr="00D633B5">
        <w:rPr>
          <w:rFonts w:ascii="Candara" w:hAnsi="Candara"/>
        </w:rPr>
        <w:t xml:space="preserve">Figure </w:t>
      </w:r>
      <w:r w:rsidR="00D53331" w:rsidRPr="00D633B5">
        <w:rPr>
          <w:rFonts w:ascii="Candara" w:hAnsi="Candara"/>
        </w:rPr>
        <w:t>2</w:t>
      </w:r>
      <w:r w:rsidRPr="00D633B5">
        <w:rPr>
          <w:rFonts w:ascii="Candara" w:hAnsi="Candara"/>
        </w:rPr>
        <w:t xml:space="preserve"> – Chart of Accounts Segment population</w:t>
      </w:r>
      <w:bookmarkEnd w:id="15"/>
    </w:p>
    <w:p w14:paraId="3CD5C1AF" w14:textId="77777777" w:rsidR="00E10DC6" w:rsidRPr="00D633B5" w:rsidRDefault="00E10DC6" w:rsidP="00E10DC6">
      <w:pPr>
        <w:rPr>
          <w:rFonts w:ascii="Candara" w:hAnsi="Candara"/>
        </w:rPr>
      </w:pPr>
      <w:r w:rsidRPr="00D633B5">
        <w:rPr>
          <w:rFonts w:ascii="Candara" w:hAnsi="Candara"/>
          <w:noProof/>
        </w:rPr>
        <w:drawing>
          <wp:inline distT="0" distB="0" distL="0" distR="0" wp14:anchorId="016C28A2" wp14:editId="2D5F773D">
            <wp:extent cx="5720080" cy="195643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0080" cy="1956435"/>
                    </a:xfrm>
                    <a:prstGeom prst="rect">
                      <a:avLst/>
                    </a:prstGeom>
                    <a:noFill/>
                    <a:ln>
                      <a:noFill/>
                    </a:ln>
                  </pic:spPr>
                </pic:pic>
              </a:graphicData>
            </a:graphic>
          </wp:inline>
        </w:drawing>
      </w:r>
    </w:p>
    <w:p w14:paraId="6F742C5D"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Cells that are blue require data. Conditional formatting is automatically applied.</w:t>
      </w:r>
    </w:p>
    <w:p w14:paraId="56D6EB2A" w14:textId="4C6BDE31" w:rsidR="00E10DC6" w:rsidRPr="00D633B5" w:rsidRDefault="00B60677" w:rsidP="009227EF">
      <w:pPr>
        <w:pStyle w:val="Heading2"/>
        <w:numPr>
          <w:ilvl w:val="1"/>
          <w:numId w:val="0"/>
        </w:numPr>
        <w:ind w:left="576" w:hanging="576"/>
        <w:rPr>
          <w:rFonts w:ascii="Candara" w:hAnsi="Candara"/>
        </w:rPr>
      </w:pPr>
      <w:bookmarkStart w:id="16" w:name="_Toc39746418"/>
      <w:r w:rsidRPr="00D633B5">
        <w:rPr>
          <w:rFonts w:ascii="Candara" w:hAnsi="Candara"/>
        </w:rPr>
        <w:t>4.3</w:t>
      </w:r>
      <w:r w:rsidRPr="00D633B5">
        <w:rPr>
          <w:rFonts w:ascii="Candara" w:hAnsi="Candara"/>
        </w:rPr>
        <w:tab/>
      </w:r>
      <w:r w:rsidR="00E10DC6" w:rsidRPr="00D633B5">
        <w:rPr>
          <w:rFonts w:ascii="Candara" w:hAnsi="Candara"/>
        </w:rPr>
        <w:t>Update / Finalise Report Format</w:t>
      </w:r>
      <w:bookmarkEnd w:id="16"/>
      <w:r w:rsidR="00E10DC6" w:rsidRPr="00D633B5">
        <w:rPr>
          <w:rFonts w:ascii="Candara" w:hAnsi="Candara"/>
        </w:rPr>
        <w:t xml:space="preserve"> </w:t>
      </w:r>
    </w:p>
    <w:p w14:paraId="78C9340E" w14:textId="77777777" w:rsidR="00B60677" w:rsidRPr="00D633B5" w:rsidRDefault="00E10DC6" w:rsidP="00B60677">
      <w:pPr>
        <w:pStyle w:val="NumberedParagraph"/>
        <w:numPr>
          <w:ilvl w:val="0"/>
          <w:numId w:val="10"/>
        </w:numPr>
        <w:rPr>
          <w:rFonts w:ascii="Candara" w:hAnsi="Candara"/>
        </w:rPr>
      </w:pPr>
      <w:r w:rsidRPr="00D633B5">
        <w:rPr>
          <w:rFonts w:ascii="Candara" w:hAnsi="Candara"/>
        </w:rPr>
        <w:t xml:space="preserve">As noted previously, the APA requirements for Budget Performance Reporting require reports to cover two of the six segments of the NCOA – Administrative and Economic.  As States further domesticate the NCOA, it may be that other segments are added – Functional, Programme and Location in particularly (see section </w:t>
      </w:r>
      <w:r w:rsidR="00B60677" w:rsidRPr="00D633B5">
        <w:rPr>
          <w:rFonts w:ascii="Candara" w:hAnsi="Candara"/>
        </w:rPr>
        <w:t>5</w:t>
      </w:r>
      <w:r w:rsidRPr="00D633B5">
        <w:rPr>
          <w:rFonts w:ascii="Candara" w:hAnsi="Candara"/>
        </w:rPr>
        <w:t xml:space="preserve"> on domestication). </w:t>
      </w:r>
    </w:p>
    <w:p w14:paraId="1E363A21" w14:textId="51607717" w:rsidR="00E10DC6" w:rsidRPr="00D633B5" w:rsidRDefault="00E10DC6" w:rsidP="00B60677">
      <w:pPr>
        <w:pStyle w:val="NumberedParagraph"/>
        <w:numPr>
          <w:ilvl w:val="0"/>
          <w:numId w:val="10"/>
        </w:numPr>
        <w:rPr>
          <w:rFonts w:ascii="Candara" w:hAnsi="Candara"/>
        </w:rPr>
      </w:pPr>
      <w:r w:rsidRPr="00D633B5">
        <w:rPr>
          <w:rFonts w:ascii="Candara" w:hAnsi="Candara"/>
        </w:rPr>
        <w:t xml:space="preserve">The </w:t>
      </w:r>
      <w:r w:rsidRPr="00D633B5">
        <w:rPr>
          <w:rFonts w:ascii="Candara" w:hAnsi="Candara"/>
          <w:b/>
          <w:u w:val="single"/>
        </w:rPr>
        <w:t xml:space="preserve">BPR Template </w:t>
      </w:r>
      <w:r w:rsidRPr="00D633B5">
        <w:rPr>
          <w:rFonts w:ascii="Candara" w:hAnsi="Candara"/>
        </w:rPr>
        <w:t xml:space="preserve">have been designed to match the </w:t>
      </w:r>
      <w:r w:rsidR="00B60677" w:rsidRPr="00D633B5">
        <w:rPr>
          <w:rFonts w:ascii="Candara" w:hAnsi="Candara"/>
        </w:rPr>
        <w:t>APA DLI1</w:t>
      </w:r>
      <w:r w:rsidRPr="00D633B5">
        <w:rPr>
          <w:rFonts w:ascii="Candara" w:hAnsi="Candara"/>
        </w:rPr>
        <w:t xml:space="preserve"> requirements as well as FAAC reporting requirements. For Administrative, the templates capture any level in the coding structure but will summarise (tally) to main org level. For economic segment, tallying is at all levels. </w:t>
      </w:r>
    </w:p>
    <w:p w14:paraId="5210C6FD" w14:textId="41A818F7" w:rsidR="001F1309" w:rsidRDefault="00E10DC6" w:rsidP="00E10DC6">
      <w:pPr>
        <w:pStyle w:val="NumberedParagraph"/>
        <w:numPr>
          <w:ilvl w:val="0"/>
          <w:numId w:val="10"/>
        </w:numPr>
        <w:rPr>
          <w:rFonts w:ascii="Candara" w:hAnsi="Candara"/>
        </w:rPr>
      </w:pPr>
      <w:r w:rsidRPr="00D633B5">
        <w:rPr>
          <w:rFonts w:ascii="Candara" w:hAnsi="Candara"/>
        </w:rPr>
        <w:t xml:space="preserve">The template is intended to be used for whole of State Government although it could be modified to be used by an individual MDA (see section </w:t>
      </w:r>
      <w:r w:rsidR="00C46D6A">
        <w:rPr>
          <w:rFonts w:ascii="Candara" w:hAnsi="Candara"/>
        </w:rPr>
        <w:t>5</w:t>
      </w:r>
      <w:r w:rsidRPr="00D633B5">
        <w:rPr>
          <w:rFonts w:ascii="Candara" w:hAnsi="Candara"/>
        </w:rPr>
        <w:t xml:space="preserve"> of this report on domestication). </w:t>
      </w:r>
    </w:p>
    <w:p w14:paraId="1158DF41" w14:textId="77777777" w:rsidR="001F1309" w:rsidRDefault="001F1309" w:rsidP="00D633B5">
      <w:pPr>
        <w:pStyle w:val="NumberedParagraph"/>
        <w:numPr>
          <w:ilvl w:val="0"/>
          <w:numId w:val="0"/>
        </w:numPr>
        <w:ind w:left="567"/>
        <w:rPr>
          <w:rFonts w:ascii="Candara" w:hAnsi="Candara"/>
        </w:rPr>
      </w:pPr>
    </w:p>
    <w:p w14:paraId="2160CC25" w14:textId="68AEB4BF" w:rsidR="00E10DC6" w:rsidRPr="00D633B5" w:rsidRDefault="00E10DC6" w:rsidP="00D633B5">
      <w:pPr>
        <w:pStyle w:val="NumberedParagraph"/>
        <w:numPr>
          <w:ilvl w:val="0"/>
          <w:numId w:val="0"/>
        </w:numPr>
        <w:ind w:left="567"/>
        <w:rPr>
          <w:rFonts w:ascii="Candara" w:hAnsi="Candara"/>
        </w:rPr>
      </w:pPr>
      <w:r w:rsidRPr="00D633B5">
        <w:rPr>
          <w:rFonts w:ascii="Candara" w:hAnsi="Candara"/>
        </w:rPr>
        <w:lastRenderedPageBreak/>
        <w:t>It provides:</w:t>
      </w:r>
    </w:p>
    <w:p w14:paraId="19847E36" w14:textId="77777777" w:rsidR="00E10DC6" w:rsidRPr="00D633B5" w:rsidRDefault="00E10DC6" w:rsidP="00E10DC6">
      <w:pPr>
        <w:pStyle w:val="ListBullet"/>
        <w:rPr>
          <w:rFonts w:ascii="Candara" w:hAnsi="Candara"/>
        </w:rPr>
      </w:pPr>
      <w:r w:rsidRPr="00D633B5">
        <w:rPr>
          <w:rFonts w:ascii="Candara" w:hAnsi="Candara"/>
        </w:rPr>
        <w:t xml:space="preserve">Annual Budget Provision </w:t>
      </w:r>
    </w:p>
    <w:p w14:paraId="0AEA9E22" w14:textId="77777777" w:rsidR="00E10DC6" w:rsidRPr="00D633B5" w:rsidRDefault="00E10DC6" w:rsidP="00E10DC6">
      <w:pPr>
        <w:pStyle w:val="ListBullet"/>
        <w:rPr>
          <w:rFonts w:ascii="Candara" w:hAnsi="Candara"/>
        </w:rPr>
      </w:pPr>
      <w:r w:rsidRPr="00D633B5">
        <w:rPr>
          <w:rFonts w:ascii="Candara" w:hAnsi="Candara"/>
        </w:rPr>
        <w:t>Current Period (Quarter) Revenue/ Expenditure</w:t>
      </w:r>
    </w:p>
    <w:p w14:paraId="65C140E3" w14:textId="77777777" w:rsidR="00E10DC6" w:rsidRPr="00D633B5" w:rsidRDefault="00E10DC6" w:rsidP="00E10DC6">
      <w:pPr>
        <w:pStyle w:val="ListBullet"/>
        <w:rPr>
          <w:rFonts w:ascii="Candara" w:hAnsi="Candara"/>
        </w:rPr>
      </w:pPr>
      <w:r w:rsidRPr="00D633B5">
        <w:rPr>
          <w:rFonts w:ascii="Candara" w:hAnsi="Candara"/>
        </w:rPr>
        <w:t>Total Revenue/ Expenditure Year to Date</w:t>
      </w:r>
    </w:p>
    <w:p w14:paraId="41E329B1" w14:textId="77777777" w:rsidR="00E10DC6" w:rsidRPr="00D633B5" w:rsidRDefault="00E10DC6" w:rsidP="00E10DC6">
      <w:pPr>
        <w:pStyle w:val="ListBullet"/>
        <w:rPr>
          <w:rFonts w:ascii="Candara" w:hAnsi="Candara"/>
        </w:rPr>
      </w:pPr>
      <w:r w:rsidRPr="00D633B5">
        <w:rPr>
          <w:rFonts w:ascii="Candara" w:hAnsi="Candara"/>
        </w:rPr>
        <w:t>Percentage collected/ spent Year to Date</w:t>
      </w:r>
    </w:p>
    <w:p w14:paraId="42C3545A" w14:textId="77777777" w:rsidR="00E10DC6" w:rsidRPr="00D633B5" w:rsidRDefault="00E10DC6" w:rsidP="00E10DC6">
      <w:pPr>
        <w:pStyle w:val="ListBullet"/>
        <w:rPr>
          <w:rFonts w:ascii="Candara" w:hAnsi="Candara"/>
        </w:rPr>
      </w:pPr>
      <w:r w:rsidRPr="00D633B5">
        <w:rPr>
          <w:rFonts w:ascii="Candara" w:hAnsi="Candara"/>
        </w:rPr>
        <w:t>Balance</w:t>
      </w:r>
    </w:p>
    <w:p w14:paraId="5A87CD7F"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A summary of the reports is provided below. </w:t>
      </w:r>
    </w:p>
    <w:p w14:paraId="26E361F2" w14:textId="30CB293F" w:rsidR="00E10DC6" w:rsidRPr="00D633B5" w:rsidRDefault="00FB59F9" w:rsidP="00E10DC6">
      <w:pPr>
        <w:pStyle w:val="Caption"/>
        <w:keepLines/>
        <w:rPr>
          <w:rFonts w:ascii="Candara" w:hAnsi="Candara"/>
        </w:rPr>
      </w:pPr>
      <w:bookmarkStart w:id="17" w:name="_Toc39746460"/>
      <w:r>
        <w:rPr>
          <w:rFonts w:ascii="Candara" w:hAnsi="Candara"/>
        </w:rPr>
        <w:t xml:space="preserve">Table3: </w:t>
      </w:r>
      <w:r w:rsidR="00E10DC6" w:rsidRPr="00D633B5">
        <w:rPr>
          <w:rFonts w:ascii="Candara" w:hAnsi="Candara"/>
        </w:rPr>
        <w:t>BPR Formats</w:t>
      </w:r>
      <w:bookmarkEnd w:id="17"/>
    </w:p>
    <w:tbl>
      <w:tblPr>
        <w:tblW w:w="4716" w:type="pct"/>
        <w:tblInd w:w="557" w:type="dxa"/>
        <w:tblBorders>
          <w:top w:val="single" w:sz="8" w:space="0" w:color="9DBCB0"/>
          <w:left w:val="single" w:sz="8" w:space="0" w:color="9DBCB0"/>
          <w:bottom w:val="single" w:sz="8" w:space="0" w:color="9DBCB0"/>
          <w:right w:val="single" w:sz="8" w:space="0" w:color="9DBCB0"/>
          <w:insideH w:val="single" w:sz="8" w:space="0" w:color="9DBCB0"/>
          <w:insideV w:val="single" w:sz="8" w:space="0" w:color="9DBCB0"/>
        </w:tblBorders>
        <w:tblLook w:val="01E0" w:firstRow="1" w:lastRow="1" w:firstColumn="1" w:lastColumn="1" w:noHBand="0" w:noVBand="0"/>
      </w:tblPr>
      <w:tblGrid>
        <w:gridCol w:w="1283"/>
        <w:gridCol w:w="3478"/>
        <w:gridCol w:w="4762"/>
      </w:tblGrid>
      <w:tr w:rsidR="00E10DC6" w:rsidRPr="00D633B5" w14:paraId="0E4027DC" w14:textId="77777777" w:rsidTr="00A866BB">
        <w:trPr>
          <w:cantSplit/>
          <w:tblHeader/>
        </w:trPr>
        <w:tc>
          <w:tcPr>
            <w:tcW w:w="674" w:type="pct"/>
            <w:tcBorders>
              <w:bottom w:val="single" w:sz="8" w:space="0" w:color="9DBCB0"/>
            </w:tcBorders>
            <w:shd w:val="clear" w:color="auto" w:fill="32746D"/>
            <w:vAlign w:val="center"/>
          </w:tcPr>
          <w:p w14:paraId="7C314E76" w14:textId="77777777" w:rsidR="00E10DC6" w:rsidRPr="00D633B5" w:rsidRDefault="00E10DC6" w:rsidP="00A866BB">
            <w:pPr>
              <w:pStyle w:val="Tabletitle"/>
              <w:rPr>
                <w:rFonts w:ascii="Candara" w:hAnsi="Candara"/>
                <w:lang w:val="en-GB"/>
              </w:rPr>
            </w:pPr>
            <w:r w:rsidRPr="00D633B5">
              <w:rPr>
                <w:rFonts w:ascii="Candara" w:hAnsi="Candara"/>
                <w:lang w:val="en-GB"/>
              </w:rPr>
              <w:t>Worksheet No</w:t>
            </w:r>
          </w:p>
        </w:tc>
        <w:tc>
          <w:tcPr>
            <w:tcW w:w="1826" w:type="pct"/>
            <w:tcBorders>
              <w:bottom w:val="single" w:sz="8" w:space="0" w:color="9DBCB0"/>
            </w:tcBorders>
            <w:shd w:val="clear" w:color="auto" w:fill="32746D"/>
            <w:vAlign w:val="center"/>
          </w:tcPr>
          <w:p w14:paraId="0A9C0500" w14:textId="77777777" w:rsidR="00E10DC6" w:rsidRPr="00D633B5" w:rsidRDefault="00E10DC6" w:rsidP="00A866BB">
            <w:pPr>
              <w:pStyle w:val="Table"/>
              <w:jc w:val="center"/>
              <w:rPr>
                <w:rFonts w:ascii="Candara" w:hAnsi="Candara"/>
                <w:b/>
                <w:color w:val="FFFFFF" w:themeColor="background1"/>
              </w:rPr>
            </w:pPr>
            <w:r w:rsidRPr="00D633B5">
              <w:rPr>
                <w:rFonts w:ascii="Candara" w:hAnsi="Candara"/>
                <w:b/>
                <w:color w:val="FFFFFF" w:themeColor="background1"/>
              </w:rPr>
              <w:t>Title</w:t>
            </w:r>
          </w:p>
        </w:tc>
        <w:tc>
          <w:tcPr>
            <w:tcW w:w="2500" w:type="pct"/>
            <w:tcBorders>
              <w:bottom w:val="single" w:sz="8" w:space="0" w:color="9DBCB0"/>
            </w:tcBorders>
            <w:shd w:val="clear" w:color="auto" w:fill="32746D"/>
            <w:vAlign w:val="center"/>
          </w:tcPr>
          <w:p w14:paraId="1E78757E" w14:textId="77777777" w:rsidR="00E10DC6" w:rsidRPr="00D633B5" w:rsidRDefault="00E10DC6" w:rsidP="00A866BB">
            <w:pPr>
              <w:pStyle w:val="Table"/>
              <w:jc w:val="center"/>
              <w:rPr>
                <w:rFonts w:ascii="Candara" w:hAnsi="Candara"/>
                <w:b/>
                <w:color w:val="FFFFFF" w:themeColor="background1"/>
              </w:rPr>
            </w:pPr>
            <w:r w:rsidRPr="00D633B5">
              <w:rPr>
                <w:rFonts w:ascii="Candara" w:hAnsi="Candara"/>
                <w:b/>
                <w:color w:val="FFFFFF" w:themeColor="background1"/>
              </w:rPr>
              <w:t>Description</w:t>
            </w:r>
          </w:p>
        </w:tc>
      </w:tr>
      <w:tr w:rsidR="00E10DC6" w:rsidRPr="00D633B5" w14:paraId="093FECBE" w14:textId="77777777" w:rsidTr="00A866BB">
        <w:trPr>
          <w:cantSplit/>
        </w:trPr>
        <w:tc>
          <w:tcPr>
            <w:tcW w:w="674" w:type="pct"/>
            <w:vAlign w:val="center"/>
          </w:tcPr>
          <w:p w14:paraId="4E45E888" w14:textId="77777777" w:rsidR="00E10DC6" w:rsidRPr="00D633B5" w:rsidRDefault="00E10DC6" w:rsidP="00A866BB">
            <w:pPr>
              <w:pStyle w:val="Table"/>
              <w:spacing w:before="80" w:after="80"/>
              <w:jc w:val="left"/>
              <w:rPr>
                <w:rFonts w:ascii="Candara" w:hAnsi="Candara"/>
              </w:rPr>
            </w:pPr>
            <w:r w:rsidRPr="00D633B5">
              <w:rPr>
                <w:rFonts w:ascii="Candara" w:hAnsi="Candara"/>
              </w:rPr>
              <w:t>A.1</w:t>
            </w:r>
          </w:p>
        </w:tc>
        <w:tc>
          <w:tcPr>
            <w:tcW w:w="1826" w:type="pct"/>
          </w:tcPr>
          <w:p w14:paraId="6AF6796D" w14:textId="77777777" w:rsidR="00E10DC6" w:rsidRPr="00D633B5" w:rsidRDefault="00E10DC6" w:rsidP="00A866BB">
            <w:pPr>
              <w:pStyle w:val="ListBullet"/>
              <w:ind w:left="351" w:hanging="284"/>
              <w:rPr>
                <w:rFonts w:ascii="Candara" w:hAnsi="Candara"/>
              </w:rPr>
            </w:pPr>
            <w:r w:rsidRPr="00D633B5">
              <w:rPr>
                <w:rFonts w:ascii="Candara" w:hAnsi="Candara"/>
              </w:rPr>
              <w:t>Performance Overview</w:t>
            </w:r>
          </w:p>
        </w:tc>
        <w:tc>
          <w:tcPr>
            <w:tcW w:w="2500" w:type="pct"/>
          </w:tcPr>
          <w:p w14:paraId="0C9D4A81" w14:textId="77777777" w:rsidR="00E10DC6" w:rsidRPr="00D633B5" w:rsidRDefault="00E10DC6" w:rsidP="00A866BB">
            <w:pPr>
              <w:pStyle w:val="Table"/>
              <w:spacing w:before="80" w:after="80"/>
              <w:jc w:val="left"/>
              <w:rPr>
                <w:rFonts w:ascii="Candara" w:hAnsi="Candara"/>
              </w:rPr>
            </w:pPr>
            <w:r w:rsidRPr="00D633B5">
              <w:rPr>
                <w:rFonts w:ascii="Candara" w:hAnsi="Candara"/>
              </w:rPr>
              <w:t>Summary of revenue and expenditure by the main economic heads</w:t>
            </w:r>
          </w:p>
        </w:tc>
      </w:tr>
      <w:tr w:rsidR="00E10DC6" w:rsidRPr="00D633B5" w14:paraId="57496C67" w14:textId="77777777" w:rsidTr="00A866BB">
        <w:trPr>
          <w:cantSplit/>
        </w:trPr>
        <w:tc>
          <w:tcPr>
            <w:tcW w:w="674" w:type="pct"/>
            <w:vAlign w:val="center"/>
          </w:tcPr>
          <w:p w14:paraId="7469D923" w14:textId="77777777" w:rsidR="00E10DC6" w:rsidRPr="00D633B5" w:rsidRDefault="00E10DC6" w:rsidP="00A866BB">
            <w:pPr>
              <w:pStyle w:val="Table"/>
              <w:spacing w:before="80" w:after="80"/>
              <w:jc w:val="left"/>
              <w:rPr>
                <w:rFonts w:ascii="Candara" w:hAnsi="Candara"/>
              </w:rPr>
            </w:pPr>
            <w:r w:rsidRPr="00D633B5">
              <w:rPr>
                <w:rFonts w:ascii="Candara" w:hAnsi="Candara"/>
              </w:rPr>
              <w:t>B.1</w:t>
            </w:r>
          </w:p>
        </w:tc>
        <w:tc>
          <w:tcPr>
            <w:tcW w:w="1826" w:type="pct"/>
          </w:tcPr>
          <w:p w14:paraId="1BBC02B0" w14:textId="77777777" w:rsidR="00E10DC6" w:rsidRPr="00D633B5" w:rsidRDefault="00E10DC6" w:rsidP="00A866BB">
            <w:pPr>
              <w:pStyle w:val="ListBullet"/>
              <w:ind w:left="351" w:hanging="284"/>
              <w:rPr>
                <w:rFonts w:ascii="Candara" w:hAnsi="Candara"/>
              </w:rPr>
            </w:pPr>
            <w:r w:rsidRPr="00D633B5">
              <w:rPr>
                <w:rFonts w:ascii="Candara" w:hAnsi="Candara"/>
              </w:rPr>
              <w:t>Revenue by Economic</w:t>
            </w:r>
          </w:p>
        </w:tc>
        <w:tc>
          <w:tcPr>
            <w:tcW w:w="2500" w:type="pct"/>
          </w:tcPr>
          <w:p w14:paraId="16BFCDDE" w14:textId="77777777" w:rsidR="00E10DC6" w:rsidRPr="00D633B5" w:rsidRDefault="00E10DC6" w:rsidP="00A866BB">
            <w:pPr>
              <w:pStyle w:val="Table"/>
              <w:spacing w:before="80" w:after="80"/>
              <w:jc w:val="left"/>
              <w:rPr>
                <w:rFonts w:ascii="Candara" w:hAnsi="Candara"/>
              </w:rPr>
            </w:pPr>
            <w:r w:rsidRPr="00D633B5">
              <w:rPr>
                <w:rFonts w:ascii="Candara" w:hAnsi="Candara"/>
              </w:rPr>
              <w:t>Total revenue by economic classification, including tallying at all levels</w:t>
            </w:r>
          </w:p>
        </w:tc>
      </w:tr>
      <w:tr w:rsidR="00E10DC6" w:rsidRPr="00D633B5" w14:paraId="023889A8" w14:textId="77777777" w:rsidTr="00A866BB">
        <w:trPr>
          <w:cantSplit/>
        </w:trPr>
        <w:tc>
          <w:tcPr>
            <w:tcW w:w="674" w:type="pct"/>
            <w:vAlign w:val="center"/>
          </w:tcPr>
          <w:p w14:paraId="36D09272" w14:textId="77777777" w:rsidR="00E10DC6" w:rsidRPr="00D633B5" w:rsidRDefault="00E10DC6" w:rsidP="00A866BB">
            <w:pPr>
              <w:pStyle w:val="Table"/>
              <w:spacing w:before="80" w:after="80"/>
              <w:jc w:val="left"/>
              <w:rPr>
                <w:rFonts w:ascii="Candara" w:hAnsi="Candara"/>
              </w:rPr>
            </w:pPr>
            <w:r w:rsidRPr="00D633B5">
              <w:rPr>
                <w:rFonts w:ascii="Candara" w:hAnsi="Candara"/>
              </w:rPr>
              <w:t>B.2</w:t>
            </w:r>
          </w:p>
        </w:tc>
        <w:tc>
          <w:tcPr>
            <w:tcW w:w="1826" w:type="pct"/>
          </w:tcPr>
          <w:p w14:paraId="7A8EEFE2" w14:textId="77777777" w:rsidR="00E10DC6" w:rsidRPr="00D633B5" w:rsidRDefault="00E10DC6" w:rsidP="00A866BB">
            <w:pPr>
              <w:pStyle w:val="ListBullet"/>
              <w:ind w:left="351" w:hanging="284"/>
              <w:rPr>
                <w:rFonts w:ascii="Candara" w:hAnsi="Candara"/>
              </w:rPr>
            </w:pPr>
            <w:r w:rsidRPr="00D633B5">
              <w:rPr>
                <w:rFonts w:ascii="Candara" w:hAnsi="Candara"/>
              </w:rPr>
              <w:t>Revenue by Administrative Unit</w:t>
            </w:r>
          </w:p>
        </w:tc>
        <w:tc>
          <w:tcPr>
            <w:tcW w:w="2500" w:type="pct"/>
          </w:tcPr>
          <w:p w14:paraId="5895B473" w14:textId="77777777" w:rsidR="00E10DC6" w:rsidRPr="00D633B5" w:rsidRDefault="00E10DC6" w:rsidP="00A866BB">
            <w:pPr>
              <w:pStyle w:val="Table"/>
              <w:spacing w:before="80" w:after="80"/>
              <w:jc w:val="left"/>
              <w:rPr>
                <w:rFonts w:ascii="Candara" w:hAnsi="Candara"/>
              </w:rPr>
            </w:pPr>
            <w:r w:rsidRPr="00D633B5">
              <w:rPr>
                <w:rFonts w:ascii="Candara" w:hAnsi="Candara"/>
              </w:rPr>
              <w:t>Total revenue by Administrative, tallied at Main Org level</w:t>
            </w:r>
          </w:p>
        </w:tc>
      </w:tr>
      <w:tr w:rsidR="00E10DC6" w:rsidRPr="00D633B5" w14:paraId="0A04ABF5" w14:textId="77777777" w:rsidTr="00A866BB">
        <w:trPr>
          <w:cantSplit/>
        </w:trPr>
        <w:tc>
          <w:tcPr>
            <w:tcW w:w="674" w:type="pct"/>
            <w:vAlign w:val="center"/>
          </w:tcPr>
          <w:p w14:paraId="4E059865" w14:textId="77777777" w:rsidR="00E10DC6" w:rsidRPr="00D633B5" w:rsidRDefault="00E10DC6" w:rsidP="00A866BB">
            <w:pPr>
              <w:pStyle w:val="Table"/>
              <w:spacing w:before="80" w:after="80"/>
              <w:jc w:val="left"/>
              <w:rPr>
                <w:rFonts w:ascii="Candara" w:hAnsi="Candara"/>
              </w:rPr>
            </w:pPr>
            <w:r w:rsidRPr="00D633B5">
              <w:rPr>
                <w:rFonts w:ascii="Candara" w:hAnsi="Candara"/>
              </w:rPr>
              <w:t>C.1</w:t>
            </w:r>
          </w:p>
        </w:tc>
        <w:tc>
          <w:tcPr>
            <w:tcW w:w="1826" w:type="pct"/>
          </w:tcPr>
          <w:p w14:paraId="47B43488" w14:textId="77777777" w:rsidR="00E10DC6" w:rsidRPr="00D633B5" w:rsidRDefault="00E10DC6" w:rsidP="00A866BB">
            <w:pPr>
              <w:pStyle w:val="ListBullet"/>
              <w:ind w:left="351" w:hanging="284"/>
              <w:rPr>
                <w:rFonts w:ascii="Candara" w:hAnsi="Candara"/>
              </w:rPr>
            </w:pPr>
            <w:r w:rsidRPr="00D633B5">
              <w:rPr>
                <w:rFonts w:ascii="Candara" w:hAnsi="Candara"/>
              </w:rPr>
              <w:t xml:space="preserve">Total Expenditure by Economic </w:t>
            </w:r>
          </w:p>
        </w:tc>
        <w:tc>
          <w:tcPr>
            <w:tcW w:w="2500" w:type="pct"/>
          </w:tcPr>
          <w:p w14:paraId="67502E14" w14:textId="77777777" w:rsidR="00E10DC6" w:rsidRPr="00D633B5" w:rsidRDefault="00E10DC6" w:rsidP="00A866BB">
            <w:pPr>
              <w:pStyle w:val="Table"/>
              <w:spacing w:before="80" w:after="80"/>
              <w:jc w:val="left"/>
              <w:rPr>
                <w:rFonts w:ascii="Candara" w:hAnsi="Candara"/>
              </w:rPr>
            </w:pPr>
            <w:r w:rsidRPr="00D633B5">
              <w:rPr>
                <w:rFonts w:ascii="Candara" w:hAnsi="Candara"/>
              </w:rPr>
              <w:t>Total revenue by economic classification, including tallying at all levels</w:t>
            </w:r>
          </w:p>
        </w:tc>
      </w:tr>
      <w:tr w:rsidR="00E10DC6" w:rsidRPr="00D633B5" w14:paraId="146AA58C" w14:textId="77777777" w:rsidTr="00A866BB">
        <w:trPr>
          <w:cantSplit/>
        </w:trPr>
        <w:tc>
          <w:tcPr>
            <w:tcW w:w="674" w:type="pct"/>
            <w:vAlign w:val="center"/>
          </w:tcPr>
          <w:p w14:paraId="70457EB0" w14:textId="77777777" w:rsidR="00E10DC6" w:rsidRPr="00D633B5" w:rsidRDefault="00E10DC6" w:rsidP="00A866BB">
            <w:pPr>
              <w:pStyle w:val="Table"/>
              <w:spacing w:before="80" w:after="80"/>
              <w:jc w:val="left"/>
              <w:rPr>
                <w:rFonts w:ascii="Candara" w:hAnsi="Candara"/>
              </w:rPr>
            </w:pPr>
            <w:r w:rsidRPr="00D633B5">
              <w:rPr>
                <w:rFonts w:ascii="Candara" w:hAnsi="Candara"/>
              </w:rPr>
              <w:t>C.2 (i-iv)</w:t>
            </w:r>
          </w:p>
        </w:tc>
        <w:tc>
          <w:tcPr>
            <w:tcW w:w="1826" w:type="pct"/>
          </w:tcPr>
          <w:p w14:paraId="351A17FB" w14:textId="77777777" w:rsidR="00E10DC6" w:rsidRPr="00D633B5" w:rsidRDefault="00E10DC6" w:rsidP="00A866BB">
            <w:pPr>
              <w:pStyle w:val="ListBullet"/>
              <w:ind w:left="351" w:hanging="284"/>
              <w:rPr>
                <w:rFonts w:ascii="Candara" w:hAnsi="Candara"/>
              </w:rPr>
            </w:pPr>
            <w:r w:rsidRPr="00D633B5">
              <w:rPr>
                <w:rFonts w:ascii="Candara" w:hAnsi="Candara"/>
              </w:rPr>
              <w:t>Expenditure by Administrative Type (Total, Personnel (Econ code 21), Other Recurrent (Econ code 22), Capital (Econ code 23))</w:t>
            </w:r>
          </w:p>
        </w:tc>
        <w:tc>
          <w:tcPr>
            <w:tcW w:w="2500" w:type="pct"/>
          </w:tcPr>
          <w:p w14:paraId="4516BD58" w14:textId="77777777" w:rsidR="00E10DC6" w:rsidRPr="00D633B5" w:rsidRDefault="00E10DC6" w:rsidP="00A866BB">
            <w:pPr>
              <w:pStyle w:val="Table"/>
              <w:spacing w:before="80" w:after="80"/>
              <w:jc w:val="left"/>
              <w:rPr>
                <w:rFonts w:ascii="Candara" w:hAnsi="Candara"/>
              </w:rPr>
            </w:pPr>
            <w:r w:rsidRPr="00D633B5">
              <w:rPr>
                <w:rFonts w:ascii="Candara" w:hAnsi="Candara"/>
              </w:rPr>
              <w:t>Total Expenditure by Administrative, tallied at Main Org level</w:t>
            </w:r>
          </w:p>
        </w:tc>
      </w:tr>
      <w:tr w:rsidR="00E10DC6" w:rsidRPr="00D633B5" w14:paraId="4D8CAA62" w14:textId="77777777" w:rsidTr="00A866BB">
        <w:trPr>
          <w:cantSplit/>
        </w:trPr>
        <w:tc>
          <w:tcPr>
            <w:tcW w:w="674" w:type="pct"/>
            <w:vAlign w:val="center"/>
          </w:tcPr>
          <w:p w14:paraId="5A5DB7C3" w14:textId="77777777" w:rsidR="00E10DC6" w:rsidRPr="00D633B5" w:rsidRDefault="00E10DC6" w:rsidP="00A866BB">
            <w:pPr>
              <w:pStyle w:val="Table"/>
              <w:spacing w:before="80" w:after="80"/>
              <w:jc w:val="left"/>
              <w:rPr>
                <w:rFonts w:ascii="Candara" w:hAnsi="Candara"/>
              </w:rPr>
            </w:pPr>
            <w:r w:rsidRPr="00D633B5">
              <w:rPr>
                <w:rFonts w:ascii="Candara" w:hAnsi="Candara"/>
              </w:rPr>
              <w:t>C.3 (i-iv)</w:t>
            </w:r>
          </w:p>
        </w:tc>
        <w:tc>
          <w:tcPr>
            <w:tcW w:w="1826" w:type="pct"/>
          </w:tcPr>
          <w:p w14:paraId="585F8DC1" w14:textId="77777777" w:rsidR="00E10DC6" w:rsidRPr="00D633B5" w:rsidRDefault="00E10DC6" w:rsidP="00A866BB">
            <w:pPr>
              <w:pStyle w:val="ListBullet"/>
              <w:ind w:left="351" w:hanging="284"/>
              <w:rPr>
                <w:rFonts w:ascii="Candara" w:hAnsi="Candara"/>
              </w:rPr>
            </w:pPr>
            <w:r w:rsidRPr="00D633B5">
              <w:rPr>
                <w:rFonts w:ascii="Candara" w:hAnsi="Candara"/>
              </w:rPr>
              <w:t>Expenditure by Function (Total, Personnel (Econ code 21), Other Recurrent (Econ code 22), Capital (Econ code 23))</w:t>
            </w:r>
          </w:p>
        </w:tc>
        <w:tc>
          <w:tcPr>
            <w:tcW w:w="2500" w:type="pct"/>
          </w:tcPr>
          <w:p w14:paraId="64CDFDC0" w14:textId="77777777" w:rsidR="00E10DC6" w:rsidRPr="00D633B5" w:rsidRDefault="00E10DC6" w:rsidP="00A866BB">
            <w:pPr>
              <w:pStyle w:val="Table"/>
              <w:spacing w:before="80" w:after="80"/>
              <w:jc w:val="left"/>
              <w:rPr>
                <w:rFonts w:ascii="Candara" w:hAnsi="Candara"/>
              </w:rPr>
            </w:pPr>
            <w:r w:rsidRPr="00D633B5">
              <w:rPr>
                <w:rFonts w:ascii="Candara" w:hAnsi="Candara"/>
              </w:rPr>
              <w:t>Expenditure by Function</w:t>
            </w:r>
          </w:p>
        </w:tc>
      </w:tr>
      <w:tr w:rsidR="00E10DC6" w:rsidRPr="00D633B5" w14:paraId="2EBFFE65" w14:textId="77777777" w:rsidTr="00A866BB">
        <w:trPr>
          <w:cantSplit/>
        </w:trPr>
        <w:tc>
          <w:tcPr>
            <w:tcW w:w="674" w:type="pct"/>
            <w:vAlign w:val="center"/>
          </w:tcPr>
          <w:p w14:paraId="28714034" w14:textId="77777777" w:rsidR="00E10DC6" w:rsidRPr="00D633B5" w:rsidRDefault="00E10DC6" w:rsidP="00A866BB">
            <w:pPr>
              <w:pStyle w:val="Table"/>
              <w:spacing w:before="80" w:after="80"/>
              <w:jc w:val="left"/>
              <w:rPr>
                <w:rFonts w:ascii="Candara" w:hAnsi="Candara"/>
              </w:rPr>
            </w:pPr>
            <w:r w:rsidRPr="00D633B5">
              <w:rPr>
                <w:rFonts w:ascii="Candara" w:hAnsi="Candara"/>
              </w:rPr>
              <w:t>C.4 (i-iv)</w:t>
            </w:r>
          </w:p>
        </w:tc>
        <w:tc>
          <w:tcPr>
            <w:tcW w:w="1826" w:type="pct"/>
          </w:tcPr>
          <w:p w14:paraId="1BB8D320" w14:textId="77777777" w:rsidR="00E10DC6" w:rsidRPr="00D633B5" w:rsidRDefault="00E10DC6" w:rsidP="00A866BB">
            <w:pPr>
              <w:pStyle w:val="ListBullet"/>
              <w:ind w:left="351" w:hanging="284"/>
              <w:rPr>
                <w:rFonts w:ascii="Candara" w:hAnsi="Candara"/>
              </w:rPr>
            </w:pPr>
            <w:r w:rsidRPr="00D633B5">
              <w:rPr>
                <w:rFonts w:ascii="Candara" w:hAnsi="Candara"/>
              </w:rPr>
              <w:t>Expenditure by Location (Total, Personnel (Econ code 21), Other Recurrent (Econ code 22), Capital (Econ code 23))</w:t>
            </w:r>
          </w:p>
        </w:tc>
        <w:tc>
          <w:tcPr>
            <w:tcW w:w="2500" w:type="pct"/>
          </w:tcPr>
          <w:p w14:paraId="1C882A00" w14:textId="77777777" w:rsidR="00E10DC6" w:rsidRPr="00D633B5" w:rsidRDefault="00E10DC6" w:rsidP="00A866BB">
            <w:pPr>
              <w:pStyle w:val="Table"/>
              <w:spacing w:before="80" w:after="80"/>
              <w:jc w:val="left"/>
              <w:rPr>
                <w:rFonts w:ascii="Candara" w:hAnsi="Candara"/>
              </w:rPr>
            </w:pPr>
            <w:r w:rsidRPr="00D633B5">
              <w:rPr>
                <w:rFonts w:ascii="Candara" w:hAnsi="Candara"/>
              </w:rPr>
              <w:t>Expenditure by Location</w:t>
            </w:r>
          </w:p>
        </w:tc>
      </w:tr>
    </w:tbl>
    <w:p w14:paraId="168F2B9B" w14:textId="4EC06A78" w:rsidR="00E10DC6" w:rsidRPr="00D633B5" w:rsidRDefault="00E10DC6" w:rsidP="00E10DC6">
      <w:pPr>
        <w:pStyle w:val="NumberedParagraph"/>
        <w:numPr>
          <w:ilvl w:val="0"/>
          <w:numId w:val="10"/>
        </w:numPr>
        <w:rPr>
          <w:rFonts w:ascii="Candara" w:hAnsi="Candara"/>
        </w:rPr>
      </w:pPr>
      <w:r w:rsidRPr="00D633B5">
        <w:rPr>
          <w:rFonts w:ascii="Candara" w:hAnsi="Candara"/>
        </w:rPr>
        <w:t>Screenshots of the report formats are presented in the figures below (</w:t>
      </w:r>
      <w:r w:rsidR="005E2431" w:rsidRPr="00D633B5">
        <w:rPr>
          <w:rFonts w:ascii="Candara" w:hAnsi="Candara"/>
        </w:rPr>
        <w:t>unpopulated and</w:t>
      </w:r>
      <w:r w:rsidRPr="00D633B5">
        <w:rPr>
          <w:rFonts w:ascii="Candara" w:hAnsi="Candara"/>
        </w:rPr>
        <w:t xml:space="preserve"> abridged). </w:t>
      </w:r>
    </w:p>
    <w:p w14:paraId="0D8894A8" w14:textId="04342FF7" w:rsidR="00E10DC6" w:rsidRPr="00D633B5" w:rsidRDefault="00E10DC6" w:rsidP="00E10DC6">
      <w:pPr>
        <w:pStyle w:val="NumberedParagraph"/>
        <w:numPr>
          <w:ilvl w:val="0"/>
          <w:numId w:val="10"/>
        </w:numPr>
        <w:rPr>
          <w:rFonts w:ascii="Candara" w:hAnsi="Candara"/>
        </w:rPr>
      </w:pPr>
      <w:r w:rsidRPr="00D633B5">
        <w:rPr>
          <w:rFonts w:ascii="Candara" w:hAnsi="Candara"/>
        </w:rPr>
        <w:t>Modification to the report formats will require high</w:t>
      </w:r>
      <w:r w:rsidR="00C46D6A">
        <w:rPr>
          <w:rFonts w:ascii="Candara" w:hAnsi="Candara"/>
        </w:rPr>
        <w:t>-</w:t>
      </w:r>
      <w:r w:rsidRPr="00D633B5">
        <w:rPr>
          <w:rFonts w:ascii="Candara" w:hAnsi="Candara"/>
        </w:rPr>
        <w:t>level</w:t>
      </w:r>
      <w:r w:rsidR="00C46D6A">
        <w:rPr>
          <w:rFonts w:ascii="Candara" w:hAnsi="Candara"/>
        </w:rPr>
        <w:t xml:space="preserve"> proficiency in</w:t>
      </w:r>
      <w:r w:rsidRPr="00D633B5">
        <w:rPr>
          <w:rFonts w:ascii="Candara" w:hAnsi="Candara"/>
        </w:rPr>
        <w:t xml:space="preserve"> MS Excel. If in doubt, the </w:t>
      </w:r>
      <w:r w:rsidR="00690122" w:rsidRPr="00D633B5">
        <w:rPr>
          <w:rFonts w:ascii="Candara" w:hAnsi="Candara"/>
        </w:rPr>
        <w:t>State</w:t>
      </w:r>
      <w:r w:rsidRPr="00D633B5">
        <w:rPr>
          <w:rFonts w:ascii="Candara" w:hAnsi="Candara"/>
        </w:rPr>
        <w:t xml:space="preserve"> should seek support from the </w:t>
      </w:r>
      <w:r w:rsidR="00690122" w:rsidRPr="00D633B5">
        <w:rPr>
          <w:rFonts w:ascii="Candara" w:hAnsi="Candara"/>
        </w:rPr>
        <w:t>NGF</w:t>
      </w:r>
      <w:r w:rsidRPr="00D633B5">
        <w:rPr>
          <w:rFonts w:ascii="Candara" w:hAnsi="Candara"/>
        </w:rPr>
        <w:t xml:space="preserve">. </w:t>
      </w:r>
    </w:p>
    <w:p w14:paraId="4BBB9F1D" w14:textId="5182B318" w:rsidR="00E10DC6" w:rsidRPr="00D633B5" w:rsidRDefault="00E10DC6" w:rsidP="00E10DC6">
      <w:pPr>
        <w:pStyle w:val="Caption"/>
        <w:rPr>
          <w:rFonts w:ascii="Candara" w:hAnsi="Candara"/>
        </w:rPr>
      </w:pPr>
      <w:bookmarkStart w:id="18" w:name="_Ref26798125"/>
      <w:bookmarkStart w:id="19" w:name="_Toc39746438"/>
      <w:r w:rsidRPr="00D633B5">
        <w:rPr>
          <w:rFonts w:ascii="Candara" w:hAnsi="Candara"/>
        </w:rPr>
        <w:lastRenderedPageBreak/>
        <w:t xml:space="preserve">Figure </w:t>
      </w:r>
      <w:bookmarkEnd w:id="18"/>
      <w:r w:rsidR="00D53331" w:rsidRPr="00D633B5">
        <w:rPr>
          <w:rFonts w:ascii="Candara" w:hAnsi="Candara"/>
          <w:noProof/>
        </w:rPr>
        <w:t>3</w:t>
      </w:r>
      <w:r w:rsidRPr="00D633B5">
        <w:rPr>
          <w:rFonts w:ascii="Candara" w:hAnsi="Candara"/>
        </w:rPr>
        <w:t xml:space="preserve"> – Performance Overview</w:t>
      </w:r>
      <w:bookmarkEnd w:id="19"/>
    </w:p>
    <w:p w14:paraId="77D3EA35" w14:textId="77777777" w:rsidR="00E10DC6" w:rsidRPr="00D633B5" w:rsidRDefault="00E10DC6" w:rsidP="00E10DC6">
      <w:pPr>
        <w:rPr>
          <w:rFonts w:ascii="Candara" w:hAnsi="Candara"/>
        </w:rPr>
      </w:pPr>
      <w:r w:rsidRPr="00D633B5">
        <w:rPr>
          <w:rFonts w:ascii="Candara" w:hAnsi="Candara"/>
          <w:noProof/>
        </w:rPr>
        <w:drawing>
          <wp:inline distT="0" distB="0" distL="0" distR="0" wp14:anchorId="426E3554" wp14:editId="1900B883">
            <wp:extent cx="6120130" cy="374967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749675"/>
                    </a:xfrm>
                    <a:prstGeom prst="rect">
                      <a:avLst/>
                    </a:prstGeom>
                    <a:noFill/>
                    <a:ln>
                      <a:noFill/>
                    </a:ln>
                  </pic:spPr>
                </pic:pic>
              </a:graphicData>
            </a:graphic>
          </wp:inline>
        </w:drawing>
      </w:r>
    </w:p>
    <w:p w14:paraId="17CCE8D2" w14:textId="6F9BA8C7" w:rsidR="00E10DC6" w:rsidRPr="00D633B5" w:rsidRDefault="00E10DC6" w:rsidP="00E10DC6">
      <w:pPr>
        <w:pStyle w:val="Caption"/>
        <w:rPr>
          <w:rFonts w:ascii="Candara" w:hAnsi="Candara"/>
        </w:rPr>
      </w:pPr>
      <w:bookmarkStart w:id="20" w:name="_Toc39746439"/>
      <w:r w:rsidRPr="00D633B5">
        <w:rPr>
          <w:rFonts w:ascii="Candara" w:hAnsi="Candara"/>
        </w:rPr>
        <w:t xml:space="preserve">Figure </w:t>
      </w:r>
      <w:r w:rsidR="00D53331" w:rsidRPr="00D633B5">
        <w:rPr>
          <w:rFonts w:ascii="Candara" w:hAnsi="Candara"/>
          <w:noProof/>
        </w:rPr>
        <w:t>4</w:t>
      </w:r>
      <w:r w:rsidRPr="00D633B5">
        <w:rPr>
          <w:rFonts w:ascii="Candara" w:hAnsi="Candara"/>
        </w:rPr>
        <w:t xml:space="preserve"> – Revenue by Economic</w:t>
      </w:r>
      <w:bookmarkEnd w:id="20"/>
    </w:p>
    <w:p w14:paraId="2B0C739E" w14:textId="77777777" w:rsidR="00E10DC6" w:rsidRPr="00D633B5" w:rsidRDefault="00E10DC6" w:rsidP="00E10DC6">
      <w:pPr>
        <w:rPr>
          <w:rFonts w:ascii="Candara" w:hAnsi="Candara"/>
        </w:rPr>
      </w:pPr>
      <w:r w:rsidRPr="00D633B5">
        <w:rPr>
          <w:rFonts w:ascii="Candara" w:hAnsi="Candara"/>
          <w:noProof/>
        </w:rPr>
        <w:drawing>
          <wp:inline distT="0" distB="0" distL="0" distR="0" wp14:anchorId="4BB3456B" wp14:editId="377AECD1">
            <wp:extent cx="6120130" cy="27520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2752090"/>
                    </a:xfrm>
                    <a:prstGeom prst="rect">
                      <a:avLst/>
                    </a:prstGeom>
                    <a:noFill/>
                    <a:ln>
                      <a:noFill/>
                    </a:ln>
                  </pic:spPr>
                </pic:pic>
              </a:graphicData>
            </a:graphic>
          </wp:inline>
        </w:drawing>
      </w:r>
    </w:p>
    <w:p w14:paraId="17BC3823" w14:textId="36A38822" w:rsidR="00E10DC6" w:rsidRPr="00D633B5" w:rsidRDefault="00E10DC6" w:rsidP="00E10DC6">
      <w:pPr>
        <w:pStyle w:val="Caption"/>
        <w:rPr>
          <w:rFonts w:ascii="Candara" w:hAnsi="Candara"/>
        </w:rPr>
      </w:pPr>
      <w:bookmarkStart w:id="21" w:name="_Toc39746440"/>
      <w:r w:rsidRPr="00D633B5">
        <w:rPr>
          <w:rFonts w:ascii="Candara" w:hAnsi="Candara"/>
        </w:rPr>
        <w:lastRenderedPageBreak/>
        <w:t xml:space="preserve">Figure </w:t>
      </w:r>
      <w:r w:rsidR="00D53331" w:rsidRPr="00D633B5">
        <w:rPr>
          <w:rFonts w:ascii="Candara" w:hAnsi="Candara"/>
          <w:noProof/>
        </w:rPr>
        <w:t>5</w:t>
      </w:r>
      <w:r w:rsidR="00D90158" w:rsidRPr="00D633B5">
        <w:rPr>
          <w:rFonts w:ascii="Candara" w:hAnsi="Candara"/>
          <w:noProof/>
        </w:rPr>
        <w:t xml:space="preserve"> </w:t>
      </w:r>
      <w:r w:rsidRPr="00D633B5">
        <w:rPr>
          <w:rFonts w:ascii="Candara" w:hAnsi="Candara"/>
        </w:rPr>
        <w:t>– Revenue by Administrative</w:t>
      </w:r>
      <w:bookmarkEnd w:id="21"/>
      <w:r w:rsidRPr="00D633B5">
        <w:rPr>
          <w:rFonts w:ascii="Candara" w:hAnsi="Candara"/>
        </w:rPr>
        <w:t xml:space="preserve"> </w:t>
      </w:r>
    </w:p>
    <w:p w14:paraId="2AC251FC" w14:textId="77777777" w:rsidR="00E10DC6" w:rsidRPr="00D633B5" w:rsidRDefault="00E10DC6" w:rsidP="00E10DC6">
      <w:pPr>
        <w:rPr>
          <w:rFonts w:ascii="Candara" w:hAnsi="Candara"/>
        </w:rPr>
      </w:pPr>
      <w:r w:rsidRPr="00D633B5">
        <w:rPr>
          <w:rFonts w:ascii="Candara" w:hAnsi="Candara"/>
          <w:noProof/>
        </w:rPr>
        <w:drawing>
          <wp:inline distT="0" distB="0" distL="0" distR="0" wp14:anchorId="01DBEAB1" wp14:editId="6CC736D4">
            <wp:extent cx="6120130" cy="28841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2884170"/>
                    </a:xfrm>
                    <a:prstGeom prst="rect">
                      <a:avLst/>
                    </a:prstGeom>
                    <a:noFill/>
                    <a:ln>
                      <a:noFill/>
                    </a:ln>
                  </pic:spPr>
                </pic:pic>
              </a:graphicData>
            </a:graphic>
          </wp:inline>
        </w:drawing>
      </w:r>
    </w:p>
    <w:p w14:paraId="7BCFFE05" w14:textId="31871BAD" w:rsidR="00E10DC6" w:rsidRPr="00D633B5" w:rsidRDefault="00E10DC6" w:rsidP="00E10DC6">
      <w:pPr>
        <w:pStyle w:val="Caption"/>
        <w:rPr>
          <w:rFonts w:ascii="Candara" w:hAnsi="Candara"/>
        </w:rPr>
      </w:pPr>
      <w:bookmarkStart w:id="22" w:name="_Toc39746441"/>
      <w:r w:rsidRPr="00D633B5">
        <w:rPr>
          <w:rFonts w:ascii="Candara" w:hAnsi="Candara"/>
        </w:rPr>
        <w:t xml:space="preserve">Figure </w:t>
      </w:r>
      <w:r w:rsidR="00D53331" w:rsidRPr="00D633B5">
        <w:rPr>
          <w:rFonts w:ascii="Candara" w:hAnsi="Candara"/>
          <w:noProof/>
        </w:rPr>
        <w:t>6</w:t>
      </w:r>
      <w:r w:rsidRPr="00D633B5">
        <w:rPr>
          <w:rFonts w:ascii="Candara" w:hAnsi="Candara"/>
        </w:rPr>
        <w:t xml:space="preserve"> – Expenditure by Economic</w:t>
      </w:r>
      <w:bookmarkEnd w:id="22"/>
    </w:p>
    <w:p w14:paraId="7550FEF9" w14:textId="77777777" w:rsidR="00E10DC6" w:rsidRPr="00D633B5" w:rsidRDefault="00E10DC6" w:rsidP="00E10DC6">
      <w:pPr>
        <w:rPr>
          <w:rFonts w:ascii="Candara" w:hAnsi="Candara"/>
        </w:rPr>
      </w:pPr>
      <w:r w:rsidRPr="00D633B5">
        <w:rPr>
          <w:rFonts w:ascii="Candara" w:hAnsi="Candara"/>
          <w:noProof/>
        </w:rPr>
        <w:drawing>
          <wp:inline distT="0" distB="0" distL="0" distR="0" wp14:anchorId="318F5B81" wp14:editId="63B6316A">
            <wp:extent cx="6120130" cy="308356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3083560"/>
                    </a:xfrm>
                    <a:prstGeom prst="rect">
                      <a:avLst/>
                    </a:prstGeom>
                    <a:noFill/>
                    <a:ln>
                      <a:noFill/>
                    </a:ln>
                  </pic:spPr>
                </pic:pic>
              </a:graphicData>
            </a:graphic>
          </wp:inline>
        </w:drawing>
      </w:r>
    </w:p>
    <w:p w14:paraId="3F528BB8" w14:textId="7F204411" w:rsidR="00E10DC6" w:rsidRPr="00D633B5" w:rsidRDefault="00E10DC6" w:rsidP="00E10DC6">
      <w:pPr>
        <w:pStyle w:val="Caption"/>
        <w:rPr>
          <w:rFonts w:ascii="Candara" w:hAnsi="Candara"/>
        </w:rPr>
      </w:pPr>
      <w:bookmarkStart w:id="23" w:name="_Toc39746442"/>
      <w:r w:rsidRPr="00D633B5">
        <w:rPr>
          <w:rFonts w:ascii="Candara" w:hAnsi="Candara"/>
        </w:rPr>
        <w:lastRenderedPageBreak/>
        <w:t xml:space="preserve">Figure </w:t>
      </w:r>
      <w:r w:rsidR="00D53331" w:rsidRPr="00D633B5">
        <w:rPr>
          <w:rFonts w:ascii="Candara" w:hAnsi="Candara"/>
          <w:noProof/>
        </w:rPr>
        <w:t>7</w:t>
      </w:r>
      <w:r w:rsidRPr="00D633B5">
        <w:rPr>
          <w:rFonts w:ascii="Candara" w:hAnsi="Candara"/>
        </w:rPr>
        <w:t xml:space="preserve"> – Expenditure by Administrative</w:t>
      </w:r>
      <w:bookmarkEnd w:id="23"/>
    </w:p>
    <w:p w14:paraId="5CC6F605" w14:textId="77777777" w:rsidR="00E10DC6" w:rsidRPr="00D633B5" w:rsidRDefault="00E10DC6" w:rsidP="00E10DC6">
      <w:pPr>
        <w:rPr>
          <w:rFonts w:ascii="Candara" w:hAnsi="Candara"/>
        </w:rPr>
      </w:pPr>
      <w:r w:rsidRPr="00D633B5">
        <w:rPr>
          <w:rFonts w:ascii="Candara" w:hAnsi="Candara"/>
          <w:noProof/>
        </w:rPr>
        <w:drawing>
          <wp:inline distT="0" distB="0" distL="0" distR="0" wp14:anchorId="5F928945" wp14:editId="13A90D23">
            <wp:extent cx="6120130" cy="2487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130" cy="2487295"/>
                    </a:xfrm>
                    <a:prstGeom prst="rect">
                      <a:avLst/>
                    </a:prstGeom>
                    <a:noFill/>
                    <a:ln>
                      <a:noFill/>
                    </a:ln>
                  </pic:spPr>
                </pic:pic>
              </a:graphicData>
            </a:graphic>
          </wp:inline>
        </w:drawing>
      </w:r>
    </w:p>
    <w:p w14:paraId="57D91866" w14:textId="77777777" w:rsidR="00E10DC6" w:rsidRPr="00D633B5" w:rsidRDefault="00E10DC6" w:rsidP="00E10DC6">
      <w:pPr>
        <w:pStyle w:val="NumberedParagraph"/>
        <w:numPr>
          <w:ilvl w:val="0"/>
          <w:numId w:val="0"/>
        </w:numPr>
        <w:ind w:left="567" w:hanging="567"/>
        <w:rPr>
          <w:rFonts w:ascii="Candara" w:hAnsi="Candara"/>
        </w:rPr>
      </w:pPr>
    </w:p>
    <w:p w14:paraId="3E89E130" w14:textId="1A245CD1" w:rsidR="00E10DC6" w:rsidRPr="00D633B5" w:rsidRDefault="00E10DC6" w:rsidP="00E10DC6">
      <w:pPr>
        <w:pStyle w:val="Caption"/>
        <w:rPr>
          <w:rFonts w:ascii="Candara" w:hAnsi="Candara"/>
        </w:rPr>
      </w:pPr>
      <w:bookmarkStart w:id="24" w:name="_Toc39746443"/>
      <w:r w:rsidRPr="00D633B5">
        <w:rPr>
          <w:rFonts w:ascii="Candara" w:hAnsi="Candara"/>
        </w:rPr>
        <w:t xml:space="preserve">Figure </w:t>
      </w:r>
      <w:r w:rsidR="00D53331" w:rsidRPr="00D633B5">
        <w:rPr>
          <w:rFonts w:ascii="Candara" w:hAnsi="Candara"/>
          <w:noProof/>
        </w:rPr>
        <w:t>8</w:t>
      </w:r>
      <w:r w:rsidRPr="00D633B5">
        <w:rPr>
          <w:rFonts w:ascii="Candara" w:hAnsi="Candara"/>
        </w:rPr>
        <w:t xml:space="preserve"> – Expenditure by Function</w:t>
      </w:r>
      <w:bookmarkEnd w:id="24"/>
    </w:p>
    <w:p w14:paraId="4A90CA00" w14:textId="77777777" w:rsidR="00E10DC6" w:rsidRPr="00D633B5" w:rsidRDefault="00E10DC6" w:rsidP="00E10DC6">
      <w:pPr>
        <w:pStyle w:val="NumberedParagraph"/>
        <w:numPr>
          <w:ilvl w:val="0"/>
          <w:numId w:val="0"/>
        </w:numPr>
        <w:ind w:left="567" w:hanging="567"/>
        <w:rPr>
          <w:rFonts w:ascii="Candara" w:hAnsi="Candara"/>
        </w:rPr>
      </w:pPr>
      <w:r w:rsidRPr="00D633B5">
        <w:rPr>
          <w:rFonts w:ascii="Candara" w:hAnsi="Candara"/>
          <w:noProof/>
        </w:rPr>
        <w:drawing>
          <wp:inline distT="0" distB="0" distL="0" distR="0" wp14:anchorId="5769AEDC" wp14:editId="0C662224">
            <wp:extent cx="6115050" cy="2428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15050" cy="2428875"/>
                    </a:xfrm>
                    <a:prstGeom prst="rect">
                      <a:avLst/>
                    </a:prstGeom>
                    <a:noFill/>
                    <a:ln>
                      <a:noFill/>
                    </a:ln>
                  </pic:spPr>
                </pic:pic>
              </a:graphicData>
            </a:graphic>
          </wp:inline>
        </w:drawing>
      </w:r>
    </w:p>
    <w:p w14:paraId="2FA23A7E" w14:textId="2D8CF1FD" w:rsidR="00E10DC6" w:rsidRPr="00D633B5" w:rsidRDefault="00E10DC6" w:rsidP="00E10DC6">
      <w:pPr>
        <w:pStyle w:val="Caption"/>
        <w:rPr>
          <w:rFonts w:ascii="Candara" w:hAnsi="Candara"/>
        </w:rPr>
      </w:pPr>
      <w:bookmarkStart w:id="25" w:name="_Toc39746444"/>
      <w:r w:rsidRPr="00D633B5">
        <w:rPr>
          <w:rFonts w:ascii="Candara" w:hAnsi="Candara"/>
        </w:rPr>
        <w:t xml:space="preserve">Figure </w:t>
      </w:r>
      <w:r w:rsidR="00D53331" w:rsidRPr="00D633B5">
        <w:rPr>
          <w:rFonts w:ascii="Candara" w:hAnsi="Candara"/>
          <w:noProof/>
        </w:rPr>
        <w:t>9</w:t>
      </w:r>
      <w:r w:rsidRPr="00D633B5">
        <w:rPr>
          <w:rFonts w:ascii="Candara" w:hAnsi="Candara"/>
        </w:rPr>
        <w:t xml:space="preserve"> – Expenditure by Location</w:t>
      </w:r>
      <w:bookmarkEnd w:id="25"/>
    </w:p>
    <w:p w14:paraId="7DAABB1A" w14:textId="77777777" w:rsidR="00E10DC6" w:rsidRPr="00D633B5" w:rsidRDefault="00E10DC6" w:rsidP="00E10DC6">
      <w:pPr>
        <w:pStyle w:val="NumberedParagraph"/>
        <w:numPr>
          <w:ilvl w:val="0"/>
          <w:numId w:val="0"/>
        </w:numPr>
        <w:ind w:left="567" w:hanging="567"/>
        <w:rPr>
          <w:rFonts w:ascii="Candara" w:hAnsi="Candara"/>
        </w:rPr>
      </w:pPr>
      <w:r w:rsidRPr="00D633B5">
        <w:rPr>
          <w:rFonts w:ascii="Candara" w:hAnsi="Candara"/>
          <w:noProof/>
        </w:rPr>
        <w:drawing>
          <wp:inline distT="0" distB="0" distL="0" distR="0" wp14:anchorId="453867FD" wp14:editId="1FFA357F">
            <wp:extent cx="6115050" cy="2276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5050" cy="2276475"/>
                    </a:xfrm>
                    <a:prstGeom prst="rect">
                      <a:avLst/>
                    </a:prstGeom>
                    <a:noFill/>
                    <a:ln>
                      <a:noFill/>
                    </a:ln>
                  </pic:spPr>
                </pic:pic>
              </a:graphicData>
            </a:graphic>
          </wp:inline>
        </w:drawing>
      </w:r>
    </w:p>
    <w:p w14:paraId="19D8D1A7" w14:textId="3657CAC7" w:rsidR="00E10DC6" w:rsidRDefault="00E10DC6" w:rsidP="00E10DC6">
      <w:pPr>
        <w:pStyle w:val="NumberedParagraph"/>
        <w:numPr>
          <w:ilvl w:val="0"/>
          <w:numId w:val="0"/>
        </w:numPr>
        <w:ind w:left="567" w:hanging="567"/>
        <w:rPr>
          <w:rFonts w:ascii="Candara" w:hAnsi="Candara"/>
        </w:rPr>
      </w:pPr>
    </w:p>
    <w:p w14:paraId="610B1792" w14:textId="77777777" w:rsidR="00D52B27" w:rsidRPr="00D633B5" w:rsidRDefault="00D52B27" w:rsidP="00E10DC6">
      <w:pPr>
        <w:pStyle w:val="NumberedParagraph"/>
        <w:numPr>
          <w:ilvl w:val="0"/>
          <w:numId w:val="0"/>
        </w:numPr>
        <w:ind w:left="567" w:hanging="567"/>
        <w:rPr>
          <w:rFonts w:ascii="Candara" w:hAnsi="Candara"/>
        </w:rPr>
      </w:pPr>
    </w:p>
    <w:p w14:paraId="2DEFBB3A" w14:textId="14A45C8D" w:rsidR="00E10DC6" w:rsidRPr="00D633B5" w:rsidRDefault="00BA0E35" w:rsidP="009227EF">
      <w:pPr>
        <w:pStyle w:val="Heading2"/>
        <w:numPr>
          <w:ilvl w:val="1"/>
          <w:numId w:val="0"/>
        </w:numPr>
        <w:ind w:left="576" w:hanging="576"/>
        <w:rPr>
          <w:rFonts w:ascii="Candara" w:hAnsi="Candara"/>
        </w:rPr>
      </w:pPr>
      <w:bookmarkStart w:id="26" w:name="_Toc39746419"/>
      <w:r w:rsidRPr="00D633B5">
        <w:rPr>
          <w:rFonts w:ascii="Candara" w:hAnsi="Candara"/>
        </w:rPr>
        <w:lastRenderedPageBreak/>
        <w:t>4.4</w:t>
      </w:r>
      <w:r w:rsidRPr="00D633B5">
        <w:rPr>
          <w:rFonts w:ascii="Candara" w:hAnsi="Candara"/>
        </w:rPr>
        <w:tab/>
      </w:r>
      <w:r w:rsidR="00E10DC6" w:rsidRPr="00D633B5">
        <w:rPr>
          <w:rFonts w:ascii="Candara" w:hAnsi="Candara"/>
        </w:rPr>
        <w:t>Data Sources</w:t>
      </w:r>
      <w:bookmarkEnd w:id="26"/>
    </w:p>
    <w:p w14:paraId="60EE6574"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Data sources can be split into two categories – budget and actuals. </w:t>
      </w:r>
    </w:p>
    <w:p w14:paraId="34B6F4A0" w14:textId="53161C88"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For Budget Data, this can be transferred directly from the </w:t>
      </w:r>
      <w:r w:rsidRPr="00D633B5">
        <w:rPr>
          <w:rFonts w:ascii="Candara" w:hAnsi="Candara"/>
          <w:b/>
          <w:u w:val="single"/>
        </w:rPr>
        <w:t>Budget Formulation and Compilation Templates</w:t>
      </w:r>
      <w:r w:rsidRPr="00D633B5">
        <w:rPr>
          <w:rFonts w:ascii="Candara" w:hAnsi="Candara"/>
        </w:rPr>
        <w:t xml:space="preserve"> as contained in the SFTAS Toolkit “FSP and Annual Budget”. Otherwise it would need to be generated from another means – either directly from the </w:t>
      </w:r>
      <w:r w:rsidR="00D52B27">
        <w:rPr>
          <w:rFonts w:ascii="Candara" w:hAnsi="Candara"/>
        </w:rPr>
        <w:t>S</w:t>
      </w:r>
      <w:r w:rsidRPr="00D633B5">
        <w:rPr>
          <w:rFonts w:ascii="Candara" w:hAnsi="Candara"/>
        </w:rPr>
        <w:t xml:space="preserve">tate </w:t>
      </w:r>
      <w:r w:rsidR="00BD7D3F">
        <w:rPr>
          <w:rFonts w:ascii="Candara" w:hAnsi="Candara"/>
        </w:rPr>
        <w:t xml:space="preserve">integrated </w:t>
      </w:r>
      <w:r w:rsidRPr="00D633B5">
        <w:rPr>
          <w:rFonts w:ascii="Candara" w:hAnsi="Candara"/>
        </w:rPr>
        <w:t xml:space="preserve">financial management system or by extracting the data from an MS </w:t>
      </w:r>
      <w:r w:rsidR="00D52B27">
        <w:rPr>
          <w:rFonts w:ascii="Candara" w:hAnsi="Candara"/>
        </w:rPr>
        <w:t xml:space="preserve">Excel </w:t>
      </w:r>
      <w:r w:rsidRPr="00D633B5">
        <w:rPr>
          <w:rFonts w:ascii="Candara" w:hAnsi="Candara"/>
        </w:rPr>
        <w:t>version of the budget. For revenue, personnel expenditure and overhead expenditure, the format is a simple three</w:t>
      </w:r>
      <w:r w:rsidR="00BD7D3F">
        <w:rPr>
          <w:rFonts w:ascii="Candara" w:hAnsi="Candara"/>
        </w:rPr>
        <w:t>-</w:t>
      </w:r>
      <w:r w:rsidRPr="00D633B5">
        <w:rPr>
          <w:rFonts w:ascii="Candara" w:hAnsi="Candara"/>
        </w:rPr>
        <w:t>column data</w:t>
      </w:r>
      <w:r w:rsidR="00BD7D3F">
        <w:rPr>
          <w:rFonts w:ascii="Candara" w:hAnsi="Candara"/>
        </w:rPr>
        <w:t xml:space="preserve"> entry</w:t>
      </w:r>
      <w:r w:rsidRPr="00D633B5">
        <w:rPr>
          <w:rFonts w:ascii="Candara" w:hAnsi="Candara"/>
        </w:rPr>
        <w:t>:</w:t>
      </w:r>
    </w:p>
    <w:p w14:paraId="69D35DA9" w14:textId="77777777" w:rsidR="00E10DC6" w:rsidRPr="00D633B5" w:rsidRDefault="00E10DC6" w:rsidP="00E10DC6">
      <w:pPr>
        <w:pStyle w:val="ListBullet"/>
        <w:rPr>
          <w:rFonts w:ascii="Candara" w:hAnsi="Candara"/>
        </w:rPr>
      </w:pPr>
      <w:r w:rsidRPr="00D633B5">
        <w:rPr>
          <w:rFonts w:ascii="Candara" w:hAnsi="Candara"/>
        </w:rPr>
        <w:t>Admin Code</w:t>
      </w:r>
    </w:p>
    <w:p w14:paraId="6CBD1DCB" w14:textId="77777777" w:rsidR="00E10DC6" w:rsidRPr="00D633B5" w:rsidRDefault="00E10DC6" w:rsidP="00E10DC6">
      <w:pPr>
        <w:pStyle w:val="ListBullet"/>
        <w:rPr>
          <w:rFonts w:ascii="Candara" w:hAnsi="Candara"/>
        </w:rPr>
      </w:pPr>
      <w:r w:rsidRPr="00D633B5">
        <w:rPr>
          <w:rFonts w:ascii="Candara" w:hAnsi="Candara"/>
        </w:rPr>
        <w:t>Economic Code</w:t>
      </w:r>
    </w:p>
    <w:p w14:paraId="2E2CE930" w14:textId="77777777" w:rsidR="00E10DC6" w:rsidRPr="00D633B5" w:rsidRDefault="00E10DC6" w:rsidP="00E10DC6">
      <w:pPr>
        <w:pStyle w:val="ListBullet"/>
        <w:rPr>
          <w:rFonts w:ascii="Candara" w:hAnsi="Candara"/>
        </w:rPr>
      </w:pPr>
      <w:r w:rsidRPr="00D633B5">
        <w:rPr>
          <w:rFonts w:ascii="Candara" w:hAnsi="Candara"/>
        </w:rPr>
        <w:t>Budget Provision</w:t>
      </w:r>
    </w:p>
    <w:p w14:paraId="0BFA9468" w14:textId="77777777" w:rsidR="00E10DC6" w:rsidRPr="00D633B5" w:rsidRDefault="00E10DC6" w:rsidP="00E10DC6">
      <w:pPr>
        <w:pStyle w:val="ListBullet"/>
        <w:rPr>
          <w:rFonts w:ascii="Candara" w:hAnsi="Candara"/>
        </w:rPr>
      </w:pPr>
      <w:r w:rsidRPr="00D633B5">
        <w:rPr>
          <w:rFonts w:ascii="Candara" w:hAnsi="Candara"/>
        </w:rPr>
        <w:t>Function (Expenditure Only)</w:t>
      </w:r>
    </w:p>
    <w:p w14:paraId="271C1593" w14:textId="77777777" w:rsidR="00E10DC6" w:rsidRPr="00D633B5" w:rsidRDefault="00E10DC6" w:rsidP="00E10DC6">
      <w:pPr>
        <w:pStyle w:val="ListBullet"/>
        <w:rPr>
          <w:rFonts w:ascii="Candara" w:hAnsi="Candara"/>
        </w:rPr>
      </w:pPr>
      <w:r w:rsidRPr="00D633B5">
        <w:rPr>
          <w:rFonts w:ascii="Candara" w:hAnsi="Candara"/>
        </w:rPr>
        <w:t>Location (Expenditure only)</w:t>
      </w:r>
    </w:p>
    <w:p w14:paraId="7B74804A"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It should be noted that budget performance reports should reflect any virements/ supplementary appropriations.  </w:t>
      </w:r>
    </w:p>
    <w:p w14:paraId="7791D465" w14:textId="3A830448" w:rsidR="00E10DC6" w:rsidRPr="00D633B5" w:rsidRDefault="00E10DC6" w:rsidP="00BA0E35">
      <w:pPr>
        <w:pStyle w:val="NumberedParagraph"/>
        <w:numPr>
          <w:ilvl w:val="0"/>
          <w:numId w:val="10"/>
        </w:numPr>
        <w:rPr>
          <w:rFonts w:ascii="Candara" w:hAnsi="Candara"/>
        </w:rPr>
      </w:pPr>
      <w:r w:rsidRPr="00D633B5">
        <w:rPr>
          <w:rFonts w:ascii="Candara" w:hAnsi="Candara"/>
        </w:rPr>
        <w:t xml:space="preserve">Actuals are pasted into the same worksheet in the appropriate columns, either by date or by period (see </w:t>
      </w:r>
      <w:r w:rsidRPr="00D633B5">
        <w:rPr>
          <w:rFonts w:ascii="Candara" w:hAnsi="Candara"/>
          <w:b/>
          <w:bCs/>
          <w:u w:val="single"/>
        </w:rPr>
        <w:t>BPR Instructions template</w:t>
      </w:r>
      <w:r w:rsidRPr="00D633B5">
        <w:rPr>
          <w:rFonts w:ascii="Candara" w:hAnsi="Candara"/>
        </w:rPr>
        <w:t>). Screen shots Revenue, Personnel/ Overheads (separate worksheets but the same structure) and Capital Expenditure are provided in the figures below.</w:t>
      </w:r>
      <w:r w:rsidRPr="00D633B5">
        <w:rPr>
          <w:rFonts w:ascii="Candara" w:hAnsi="Candara"/>
          <w:b/>
          <w:bCs/>
          <w:u w:val="single"/>
        </w:rPr>
        <w:t xml:space="preserve"> </w:t>
      </w:r>
      <w:r w:rsidRPr="00D633B5">
        <w:rPr>
          <w:rFonts w:ascii="Candara" w:hAnsi="Candara"/>
        </w:rPr>
        <w:t xml:space="preserve"> </w:t>
      </w:r>
    </w:p>
    <w:p w14:paraId="308E118A" w14:textId="261D9FA2" w:rsidR="00E10DC6" w:rsidRPr="00D633B5" w:rsidRDefault="00E10DC6" w:rsidP="00E10DC6">
      <w:pPr>
        <w:pStyle w:val="Caption"/>
        <w:rPr>
          <w:rFonts w:ascii="Candara" w:hAnsi="Candara"/>
        </w:rPr>
      </w:pPr>
      <w:bookmarkStart w:id="27" w:name="_Toc39746445"/>
      <w:r w:rsidRPr="00D633B5">
        <w:rPr>
          <w:rFonts w:ascii="Candara" w:hAnsi="Candara"/>
        </w:rPr>
        <w:t xml:space="preserve">Figure </w:t>
      </w:r>
      <w:r w:rsidRPr="00D633B5">
        <w:rPr>
          <w:rFonts w:ascii="Candara" w:hAnsi="Candara"/>
          <w:noProof/>
        </w:rPr>
        <w:t>1</w:t>
      </w:r>
      <w:r w:rsidR="00D53331" w:rsidRPr="00D633B5">
        <w:rPr>
          <w:rFonts w:ascii="Candara" w:hAnsi="Candara"/>
          <w:noProof/>
        </w:rPr>
        <w:t>0</w:t>
      </w:r>
      <w:r w:rsidRPr="00D633B5">
        <w:rPr>
          <w:rFonts w:ascii="Candara" w:hAnsi="Candara"/>
        </w:rPr>
        <w:t xml:space="preserve"> – Revenue Actuals by Period</w:t>
      </w:r>
      <w:bookmarkEnd w:id="27"/>
    </w:p>
    <w:p w14:paraId="5543B5DF" w14:textId="77777777" w:rsidR="00E10DC6" w:rsidRPr="00D633B5" w:rsidRDefault="00E10DC6" w:rsidP="00E10DC6">
      <w:pPr>
        <w:pStyle w:val="NumberedParagraph"/>
        <w:numPr>
          <w:ilvl w:val="0"/>
          <w:numId w:val="0"/>
        </w:numPr>
        <w:ind w:left="567" w:hanging="567"/>
        <w:rPr>
          <w:rFonts w:ascii="Candara" w:hAnsi="Candara"/>
        </w:rPr>
      </w:pPr>
      <w:r w:rsidRPr="00D633B5">
        <w:rPr>
          <w:rFonts w:ascii="Candara" w:hAnsi="Candara"/>
          <w:noProof/>
        </w:rPr>
        <w:drawing>
          <wp:inline distT="0" distB="0" distL="0" distR="0" wp14:anchorId="5CE301C8" wp14:editId="0BC83BC9">
            <wp:extent cx="6113780" cy="2424430"/>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3780" cy="2424430"/>
                    </a:xfrm>
                    <a:prstGeom prst="rect">
                      <a:avLst/>
                    </a:prstGeom>
                    <a:noFill/>
                    <a:ln>
                      <a:noFill/>
                    </a:ln>
                  </pic:spPr>
                </pic:pic>
              </a:graphicData>
            </a:graphic>
          </wp:inline>
        </w:drawing>
      </w:r>
    </w:p>
    <w:p w14:paraId="21A50494" w14:textId="6209A885" w:rsidR="00E10DC6" w:rsidRPr="00D633B5" w:rsidRDefault="00E10DC6" w:rsidP="00E10DC6">
      <w:pPr>
        <w:pStyle w:val="Caption"/>
        <w:rPr>
          <w:rFonts w:ascii="Candara" w:hAnsi="Candara"/>
        </w:rPr>
      </w:pPr>
      <w:bookmarkStart w:id="28" w:name="_Toc39746446"/>
      <w:r w:rsidRPr="00D633B5">
        <w:rPr>
          <w:rFonts w:ascii="Candara" w:hAnsi="Candara"/>
        </w:rPr>
        <w:t xml:space="preserve">Figure </w:t>
      </w:r>
      <w:r w:rsidRPr="00D633B5">
        <w:rPr>
          <w:rFonts w:ascii="Candara" w:hAnsi="Candara"/>
          <w:noProof/>
        </w:rPr>
        <w:t>1</w:t>
      </w:r>
      <w:r w:rsidR="00D53331" w:rsidRPr="00D633B5">
        <w:rPr>
          <w:rFonts w:ascii="Candara" w:hAnsi="Candara"/>
          <w:noProof/>
        </w:rPr>
        <w:t>1</w:t>
      </w:r>
      <w:r w:rsidRPr="00D633B5">
        <w:rPr>
          <w:rFonts w:ascii="Candara" w:hAnsi="Candara"/>
        </w:rPr>
        <w:t xml:space="preserve"> – Personnel and Overhead Actuals by Period</w:t>
      </w:r>
      <w:bookmarkEnd w:id="28"/>
    </w:p>
    <w:p w14:paraId="52AD7011" w14:textId="77777777" w:rsidR="00E10DC6" w:rsidRPr="00D633B5" w:rsidRDefault="00E10DC6" w:rsidP="00E10DC6">
      <w:pPr>
        <w:rPr>
          <w:rFonts w:ascii="Candara" w:hAnsi="Candara"/>
        </w:rPr>
      </w:pPr>
      <w:r w:rsidRPr="00D633B5">
        <w:rPr>
          <w:rFonts w:ascii="Candara" w:hAnsi="Candara"/>
          <w:noProof/>
        </w:rPr>
        <w:drawing>
          <wp:inline distT="0" distB="0" distL="0" distR="0" wp14:anchorId="1BAA579A" wp14:editId="70EF70A8">
            <wp:extent cx="6120130" cy="1827530"/>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1827530"/>
                    </a:xfrm>
                    <a:prstGeom prst="rect">
                      <a:avLst/>
                    </a:prstGeom>
                    <a:noFill/>
                    <a:ln>
                      <a:noFill/>
                    </a:ln>
                  </pic:spPr>
                </pic:pic>
              </a:graphicData>
            </a:graphic>
          </wp:inline>
        </w:drawing>
      </w:r>
    </w:p>
    <w:p w14:paraId="62B10EE5" w14:textId="4AD48BD3" w:rsidR="00E10DC6" w:rsidRPr="00D633B5" w:rsidRDefault="00E10DC6" w:rsidP="00E10DC6">
      <w:pPr>
        <w:pStyle w:val="Caption"/>
        <w:rPr>
          <w:rFonts w:ascii="Candara" w:hAnsi="Candara"/>
        </w:rPr>
      </w:pPr>
      <w:bookmarkStart w:id="29" w:name="_Toc39746447"/>
      <w:r w:rsidRPr="00D633B5">
        <w:rPr>
          <w:rFonts w:ascii="Candara" w:hAnsi="Candara"/>
        </w:rPr>
        <w:lastRenderedPageBreak/>
        <w:t xml:space="preserve">Figure </w:t>
      </w:r>
      <w:r w:rsidRPr="00D633B5">
        <w:rPr>
          <w:rFonts w:ascii="Candara" w:hAnsi="Candara"/>
          <w:noProof/>
        </w:rPr>
        <w:t>1</w:t>
      </w:r>
      <w:r w:rsidR="00D53331" w:rsidRPr="00D633B5">
        <w:rPr>
          <w:rFonts w:ascii="Candara" w:hAnsi="Candara"/>
          <w:noProof/>
        </w:rPr>
        <w:t>2</w:t>
      </w:r>
      <w:r w:rsidRPr="00D633B5">
        <w:rPr>
          <w:rFonts w:ascii="Candara" w:hAnsi="Candara"/>
        </w:rPr>
        <w:t xml:space="preserve"> – Capital Expenditure Actuals by Period</w:t>
      </w:r>
      <w:bookmarkEnd w:id="29"/>
    </w:p>
    <w:p w14:paraId="3D955569" w14:textId="77777777" w:rsidR="00E10DC6" w:rsidRPr="00D633B5" w:rsidRDefault="00E10DC6" w:rsidP="00E10DC6">
      <w:pPr>
        <w:rPr>
          <w:rFonts w:ascii="Candara" w:hAnsi="Candara"/>
        </w:rPr>
      </w:pPr>
      <w:r w:rsidRPr="00D633B5">
        <w:rPr>
          <w:rFonts w:ascii="Candara" w:hAnsi="Candara"/>
          <w:noProof/>
        </w:rPr>
        <w:drawing>
          <wp:inline distT="0" distB="0" distL="0" distR="0" wp14:anchorId="2CC1C256" wp14:editId="204926E6">
            <wp:extent cx="6113780" cy="1329055"/>
            <wp:effectExtent l="0" t="0" r="127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3780" cy="1329055"/>
                    </a:xfrm>
                    <a:prstGeom prst="rect">
                      <a:avLst/>
                    </a:prstGeom>
                    <a:noFill/>
                    <a:ln>
                      <a:noFill/>
                    </a:ln>
                  </pic:spPr>
                </pic:pic>
              </a:graphicData>
            </a:graphic>
          </wp:inline>
        </w:drawing>
      </w:r>
    </w:p>
    <w:p w14:paraId="24FA7E67" w14:textId="775D6E80" w:rsidR="00E10DC6" w:rsidRPr="00D633B5" w:rsidRDefault="00E10DC6" w:rsidP="00E10DC6">
      <w:pPr>
        <w:pStyle w:val="Caption"/>
        <w:rPr>
          <w:rFonts w:ascii="Candara" w:hAnsi="Candara"/>
        </w:rPr>
      </w:pPr>
      <w:bookmarkStart w:id="30" w:name="_Toc39746448"/>
      <w:r w:rsidRPr="00D633B5">
        <w:rPr>
          <w:rFonts w:ascii="Candara" w:hAnsi="Candara"/>
        </w:rPr>
        <w:t xml:space="preserve">Figure </w:t>
      </w:r>
      <w:r w:rsidRPr="00D633B5">
        <w:rPr>
          <w:rFonts w:ascii="Candara" w:hAnsi="Candara"/>
          <w:noProof/>
        </w:rPr>
        <w:t>1</w:t>
      </w:r>
      <w:r w:rsidR="00D53331" w:rsidRPr="00D633B5">
        <w:rPr>
          <w:rFonts w:ascii="Candara" w:hAnsi="Candara"/>
          <w:noProof/>
        </w:rPr>
        <w:t>3</w:t>
      </w:r>
      <w:r w:rsidRPr="00D633B5">
        <w:rPr>
          <w:rFonts w:ascii="Candara" w:hAnsi="Candara"/>
        </w:rPr>
        <w:t xml:space="preserve"> – Revenue Actuals by Date</w:t>
      </w:r>
      <w:bookmarkEnd w:id="30"/>
    </w:p>
    <w:p w14:paraId="38D0066B" w14:textId="77777777" w:rsidR="00E10DC6" w:rsidRPr="00D633B5" w:rsidRDefault="00E10DC6" w:rsidP="00E10DC6">
      <w:pPr>
        <w:rPr>
          <w:rFonts w:ascii="Candara" w:hAnsi="Candara"/>
        </w:rPr>
      </w:pPr>
      <w:r w:rsidRPr="00D633B5">
        <w:rPr>
          <w:rFonts w:ascii="Candara" w:hAnsi="Candara"/>
          <w:noProof/>
        </w:rPr>
        <w:drawing>
          <wp:inline distT="0" distB="0" distL="0" distR="0" wp14:anchorId="31660E3D" wp14:editId="333CF4FB">
            <wp:extent cx="6113780" cy="2456180"/>
            <wp:effectExtent l="0" t="0" r="127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3780" cy="2456180"/>
                    </a:xfrm>
                    <a:prstGeom prst="rect">
                      <a:avLst/>
                    </a:prstGeom>
                    <a:noFill/>
                    <a:ln>
                      <a:noFill/>
                    </a:ln>
                  </pic:spPr>
                </pic:pic>
              </a:graphicData>
            </a:graphic>
          </wp:inline>
        </w:drawing>
      </w:r>
    </w:p>
    <w:p w14:paraId="1F92F7E9" w14:textId="7E1BE324" w:rsidR="00E10DC6" w:rsidRPr="00D633B5" w:rsidRDefault="00E10DC6" w:rsidP="00E10DC6">
      <w:pPr>
        <w:pStyle w:val="Caption"/>
        <w:rPr>
          <w:rFonts w:ascii="Candara" w:hAnsi="Candara"/>
        </w:rPr>
      </w:pPr>
      <w:bookmarkStart w:id="31" w:name="_Toc39746449"/>
      <w:r w:rsidRPr="00D633B5">
        <w:rPr>
          <w:rFonts w:ascii="Candara" w:hAnsi="Candara"/>
        </w:rPr>
        <w:t xml:space="preserve">Figure </w:t>
      </w:r>
      <w:r w:rsidRPr="00D633B5">
        <w:rPr>
          <w:rFonts w:ascii="Candara" w:hAnsi="Candara"/>
          <w:noProof/>
        </w:rPr>
        <w:t>1</w:t>
      </w:r>
      <w:r w:rsidR="00D53331" w:rsidRPr="00D633B5">
        <w:rPr>
          <w:rFonts w:ascii="Candara" w:hAnsi="Candara"/>
          <w:noProof/>
        </w:rPr>
        <w:t>4</w:t>
      </w:r>
      <w:r w:rsidRPr="00D633B5">
        <w:rPr>
          <w:rFonts w:ascii="Candara" w:hAnsi="Candara"/>
        </w:rPr>
        <w:t xml:space="preserve"> – Personnel and Overhead Actuals by Date</w:t>
      </w:r>
      <w:bookmarkEnd w:id="31"/>
    </w:p>
    <w:p w14:paraId="643D7298" w14:textId="77777777" w:rsidR="00E10DC6" w:rsidRPr="00D633B5" w:rsidRDefault="00E10DC6" w:rsidP="00E10DC6">
      <w:pPr>
        <w:rPr>
          <w:rFonts w:ascii="Candara" w:hAnsi="Candara"/>
        </w:rPr>
      </w:pPr>
      <w:r w:rsidRPr="00D633B5">
        <w:rPr>
          <w:rFonts w:ascii="Candara" w:hAnsi="Candara"/>
          <w:noProof/>
        </w:rPr>
        <w:drawing>
          <wp:inline distT="0" distB="0" distL="0" distR="0" wp14:anchorId="448F0B36" wp14:editId="3EAE0224">
            <wp:extent cx="6113780" cy="208407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3780" cy="2084070"/>
                    </a:xfrm>
                    <a:prstGeom prst="rect">
                      <a:avLst/>
                    </a:prstGeom>
                    <a:noFill/>
                    <a:ln>
                      <a:noFill/>
                    </a:ln>
                  </pic:spPr>
                </pic:pic>
              </a:graphicData>
            </a:graphic>
          </wp:inline>
        </w:drawing>
      </w:r>
    </w:p>
    <w:p w14:paraId="24621FF7" w14:textId="3B650888" w:rsidR="00E10DC6" w:rsidRPr="00D633B5" w:rsidRDefault="00E10DC6" w:rsidP="00E10DC6">
      <w:pPr>
        <w:pStyle w:val="Caption"/>
        <w:rPr>
          <w:rFonts w:ascii="Candara" w:hAnsi="Candara"/>
        </w:rPr>
      </w:pPr>
      <w:bookmarkStart w:id="32" w:name="_Toc39746450"/>
      <w:r w:rsidRPr="00D633B5">
        <w:rPr>
          <w:rFonts w:ascii="Candara" w:hAnsi="Candara"/>
        </w:rPr>
        <w:t xml:space="preserve">Figure </w:t>
      </w:r>
      <w:r w:rsidRPr="00D633B5">
        <w:rPr>
          <w:rFonts w:ascii="Candara" w:hAnsi="Candara"/>
          <w:noProof/>
        </w:rPr>
        <w:t>1</w:t>
      </w:r>
      <w:r w:rsidR="00D53331" w:rsidRPr="00D633B5">
        <w:rPr>
          <w:rFonts w:ascii="Candara" w:hAnsi="Candara"/>
          <w:noProof/>
        </w:rPr>
        <w:t>5</w:t>
      </w:r>
      <w:r w:rsidRPr="00D633B5">
        <w:rPr>
          <w:rFonts w:ascii="Candara" w:hAnsi="Candara"/>
        </w:rPr>
        <w:t xml:space="preserve"> – Capital Expenditure Actuals by Date</w:t>
      </w:r>
      <w:bookmarkEnd w:id="32"/>
    </w:p>
    <w:p w14:paraId="63710C0A" w14:textId="77777777" w:rsidR="00E10DC6" w:rsidRPr="00D633B5" w:rsidRDefault="00E10DC6" w:rsidP="00E10DC6">
      <w:pPr>
        <w:rPr>
          <w:rFonts w:ascii="Candara" w:hAnsi="Candara"/>
        </w:rPr>
      </w:pPr>
      <w:r w:rsidRPr="00D633B5">
        <w:rPr>
          <w:rFonts w:ascii="Candara" w:hAnsi="Candara"/>
          <w:noProof/>
        </w:rPr>
        <w:drawing>
          <wp:inline distT="0" distB="0" distL="0" distR="0" wp14:anchorId="3494EBA8" wp14:editId="502157EF">
            <wp:extent cx="6113780" cy="1616075"/>
            <wp:effectExtent l="0" t="0" r="127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13780" cy="1616075"/>
                    </a:xfrm>
                    <a:prstGeom prst="rect">
                      <a:avLst/>
                    </a:prstGeom>
                    <a:noFill/>
                    <a:ln>
                      <a:noFill/>
                    </a:ln>
                  </pic:spPr>
                </pic:pic>
              </a:graphicData>
            </a:graphic>
          </wp:inline>
        </w:drawing>
      </w:r>
    </w:p>
    <w:p w14:paraId="02E7B626" w14:textId="48C46DE7" w:rsidR="00E10DC6" w:rsidRPr="00D633B5" w:rsidRDefault="006F5BF8" w:rsidP="009227EF">
      <w:pPr>
        <w:pStyle w:val="Heading2"/>
        <w:numPr>
          <w:ilvl w:val="1"/>
          <w:numId w:val="0"/>
        </w:numPr>
        <w:ind w:left="576" w:hanging="576"/>
        <w:rPr>
          <w:rFonts w:ascii="Candara" w:hAnsi="Candara"/>
        </w:rPr>
      </w:pPr>
      <w:bookmarkStart w:id="33" w:name="_Toc39746420"/>
      <w:r w:rsidRPr="00D633B5">
        <w:rPr>
          <w:rFonts w:ascii="Candara" w:hAnsi="Candara"/>
        </w:rPr>
        <w:lastRenderedPageBreak/>
        <w:t>4</w:t>
      </w:r>
      <w:r w:rsidR="00BA0E35" w:rsidRPr="00D633B5">
        <w:rPr>
          <w:rFonts w:ascii="Candara" w:hAnsi="Candara"/>
        </w:rPr>
        <w:t>.5</w:t>
      </w:r>
      <w:r w:rsidR="00BA0E35" w:rsidRPr="00D633B5">
        <w:rPr>
          <w:rFonts w:ascii="Candara" w:hAnsi="Candara"/>
        </w:rPr>
        <w:tab/>
      </w:r>
      <w:r w:rsidR="00E10DC6" w:rsidRPr="00D633B5">
        <w:rPr>
          <w:rFonts w:ascii="Candara" w:hAnsi="Candara"/>
        </w:rPr>
        <w:t>Producing the Budget Performance Report</w:t>
      </w:r>
      <w:bookmarkEnd w:id="33"/>
    </w:p>
    <w:p w14:paraId="0E439378"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The high-level process for producing the report on a quarterly basis is:</w:t>
      </w:r>
    </w:p>
    <w:p w14:paraId="517D16E5" w14:textId="413E42E6" w:rsidR="00E10DC6" w:rsidRPr="00D633B5" w:rsidRDefault="00E10DC6" w:rsidP="00E10DC6">
      <w:pPr>
        <w:pStyle w:val="ListBullet"/>
        <w:rPr>
          <w:rFonts w:ascii="Candara" w:hAnsi="Candara"/>
        </w:rPr>
      </w:pPr>
      <w:r w:rsidRPr="00D633B5">
        <w:rPr>
          <w:rFonts w:ascii="Candara" w:hAnsi="Candara"/>
        </w:rPr>
        <w:t>Confirmation from the Director Final Accounts that all financial transactions for the quarter have been captured in S</w:t>
      </w:r>
      <w:r w:rsidR="00D52B27">
        <w:rPr>
          <w:rFonts w:ascii="Candara" w:hAnsi="Candara"/>
        </w:rPr>
        <w:t xml:space="preserve">tate </w:t>
      </w:r>
      <w:r w:rsidRPr="00D633B5">
        <w:rPr>
          <w:rFonts w:ascii="Candara" w:hAnsi="Candara"/>
        </w:rPr>
        <w:t>IFMIS/ equivalent or a single central location</w:t>
      </w:r>
    </w:p>
    <w:p w14:paraId="46E437CB" w14:textId="77777777" w:rsidR="00E10DC6" w:rsidRPr="00D633B5" w:rsidRDefault="00E10DC6" w:rsidP="00E10DC6">
      <w:pPr>
        <w:pStyle w:val="ListBullet"/>
        <w:rPr>
          <w:rFonts w:ascii="Candara" w:hAnsi="Candara"/>
        </w:rPr>
      </w:pPr>
      <w:r w:rsidRPr="00D633B5">
        <w:rPr>
          <w:rFonts w:ascii="Candara" w:hAnsi="Candara"/>
        </w:rPr>
        <w:t xml:space="preserve">Output raw data into MS Excel workbook in a format that can be imported into the MS Excel </w:t>
      </w:r>
      <w:r w:rsidRPr="00D633B5">
        <w:rPr>
          <w:rFonts w:ascii="Candara" w:hAnsi="Candara"/>
          <w:b/>
          <w:u w:val="single"/>
        </w:rPr>
        <w:t>BPR Template</w:t>
      </w:r>
      <w:r w:rsidRPr="00D633B5">
        <w:rPr>
          <w:rFonts w:ascii="Candara" w:hAnsi="Candara"/>
        </w:rPr>
        <w:t xml:space="preserve"> (some modification might be needed)</w:t>
      </w:r>
    </w:p>
    <w:p w14:paraId="3C3D301A" w14:textId="77777777" w:rsidR="00E10DC6" w:rsidRPr="00D633B5" w:rsidRDefault="00E10DC6" w:rsidP="00E10DC6">
      <w:pPr>
        <w:pStyle w:val="ListBullet"/>
        <w:rPr>
          <w:rFonts w:ascii="Candara" w:hAnsi="Candara"/>
        </w:rPr>
      </w:pPr>
      <w:r w:rsidRPr="00D633B5">
        <w:rPr>
          <w:rFonts w:ascii="Candara" w:hAnsi="Candara"/>
        </w:rPr>
        <w:t xml:space="preserve">Populate MS Excel </w:t>
      </w:r>
      <w:r w:rsidRPr="00D633B5">
        <w:rPr>
          <w:rFonts w:ascii="Candara" w:hAnsi="Candara"/>
          <w:b/>
          <w:u w:val="single"/>
        </w:rPr>
        <w:t>BPR Template</w:t>
      </w:r>
      <w:r w:rsidRPr="00D633B5">
        <w:rPr>
          <w:rFonts w:ascii="Candara" w:hAnsi="Candara"/>
        </w:rPr>
        <w:t xml:space="preserve"> with data</w:t>
      </w:r>
    </w:p>
    <w:p w14:paraId="126B289E" w14:textId="77777777" w:rsidR="00E10DC6" w:rsidRPr="00D633B5" w:rsidRDefault="00E10DC6" w:rsidP="00E10DC6">
      <w:pPr>
        <w:pStyle w:val="ListBullet"/>
        <w:rPr>
          <w:rFonts w:ascii="Candara" w:hAnsi="Candara"/>
        </w:rPr>
      </w:pPr>
      <w:r w:rsidRPr="00D633B5">
        <w:rPr>
          <w:rFonts w:ascii="Candara" w:hAnsi="Candara"/>
        </w:rPr>
        <w:t xml:space="preserve">Check report formats to ensure numbers tally correctly </w:t>
      </w:r>
    </w:p>
    <w:p w14:paraId="340200B4" w14:textId="77777777" w:rsidR="00E10DC6" w:rsidRPr="00D633B5" w:rsidRDefault="00E10DC6" w:rsidP="00E10DC6">
      <w:pPr>
        <w:pStyle w:val="ListBullet"/>
        <w:rPr>
          <w:rFonts w:ascii="Candara" w:hAnsi="Candara"/>
        </w:rPr>
      </w:pPr>
      <w:r w:rsidRPr="00D633B5">
        <w:rPr>
          <w:rFonts w:ascii="Candara" w:hAnsi="Candara"/>
        </w:rPr>
        <w:t>Copy report formats into MS Word document (</w:t>
      </w:r>
      <w:r w:rsidRPr="00D633B5">
        <w:rPr>
          <w:rFonts w:ascii="Candara" w:hAnsi="Candara"/>
          <w:b/>
          <w:bCs/>
          <w:u w:val="single"/>
        </w:rPr>
        <w:t>BPR Publication Template</w:t>
      </w:r>
      <w:r w:rsidRPr="00D633B5">
        <w:rPr>
          <w:rFonts w:ascii="Candara" w:hAnsi="Candara"/>
        </w:rPr>
        <w:t>)</w:t>
      </w:r>
    </w:p>
    <w:p w14:paraId="4BE1C1EC" w14:textId="01179D7D" w:rsidR="00E10DC6" w:rsidRPr="00D633B5" w:rsidRDefault="00E10DC6" w:rsidP="00E10DC6">
      <w:pPr>
        <w:pStyle w:val="ListBullet"/>
        <w:rPr>
          <w:rFonts w:ascii="Candara" w:hAnsi="Candara"/>
        </w:rPr>
      </w:pPr>
      <w:r w:rsidRPr="00D633B5">
        <w:rPr>
          <w:rFonts w:ascii="Candara" w:hAnsi="Candara"/>
        </w:rPr>
        <w:t xml:space="preserve">Disseminate Budget Performance Reports accordingly to stakeholders. </w:t>
      </w:r>
    </w:p>
    <w:p w14:paraId="2ED94DFB" w14:textId="77777777"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This process should be repeated on a quarterly basis using the same MS Excel workbook (the process is additive – i.e. Q2 data is pasted in below Q1 data in the same workbook so that cumulative figures can be reported. </w:t>
      </w:r>
    </w:p>
    <w:p w14:paraId="61916874" w14:textId="02378378" w:rsidR="00E10DC6" w:rsidRPr="00D633B5" w:rsidRDefault="006F5BF8" w:rsidP="009227EF">
      <w:pPr>
        <w:pStyle w:val="Heading2"/>
        <w:numPr>
          <w:ilvl w:val="1"/>
          <w:numId w:val="0"/>
        </w:numPr>
        <w:ind w:left="576" w:hanging="576"/>
        <w:rPr>
          <w:rFonts w:ascii="Candara" w:hAnsi="Candara"/>
        </w:rPr>
      </w:pPr>
      <w:bookmarkStart w:id="34" w:name="_Toc39746421"/>
      <w:r w:rsidRPr="00D633B5">
        <w:rPr>
          <w:rFonts w:ascii="Candara" w:hAnsi="Candara"/>
        </w:rPr>
        <w:t>4</w:t>
      </w:r>
      <w:r w:rsidR="00BA0E35" w:rsidRPr="00D633B5">
        <w:rPr>
          <w:rFonts w:ascii="Candara" w:hAnsi="Candara"/>
        </w:rPr>
        <w:t>.6</w:t>
      </w:r>
      <w:r w:rsidR="00BA0E35" w:rsidRPr="00D633B5">
        <w:rPr>
          <w:rFonts w:ascii="Candara" w:hAnsi="Candara"/>
        </w:rPr>
        <w:tab/>
      </w:r>
      <w:r w:rsidR="00E10DC6" w:rsidRPr="00D633B5">
        <w:rPr>
          <w:rFonts w:ascii="Candara" w:hAnsi="Candara"/>
        </w:rPr>
        <w:t>Publishing Budget Performance Reports</w:t>
      </w:r>
      <w:bookmarkEnd w:id="34"/>
    </w:p>
    <w:p w14:paraId="226114EA" w14:textId="4D488373" w:rsidR="00E10DC6" w:rsidRPr="00D633B5" w:rsidRDefault="00E10DC6" w:rsidP="00E10DC6">
      <w:pPr>
        <w:pStyle w:val="NumberedParagraph"/>
        <w:numPr>
          <w:ilvl w:val="0"/>
          <w:numId w:val="10"/>
        </w:numPr>
        <w:rPr>
          <w:rFonts w:ascii="Candara" w:hAnsi="Candara"/>
        </w:rPr>
      </w:pPr>
      <w:r w:rsidRPr="00D633B5">
        <w:rPr>
          <w:rFonts w:ascii="Candara" w:hAnsi="Candara"/>
        </w:rPr>
        <w:t xml:space="preserve">The Budget Performance Reports should be published on a </w:t>
      </w:r>
      <w:r w:rsidR="00D52B27">
        <w:rPr>
          <w:rFonts w:ascii="Candara" w:hAnsi="Candara"/>
        </w:rPr>
        <w:t>S</w:t>
      </w:r>
      <w:r w:rsidRPr="00D633B5">
        <w:rPr>
          <w:rFonts w:ascii="Candara" w:hAnsi="Candara"/>
        </w:rPr>
        <w:t xml:space="preserve">tate website. This requires a website to be in operation. If there is currently no website, the </w:t>
      </w:r>
      <w:r w:rsidR="00BA0E35" w:rsidRPr="00D633B5">
        <w:rPr>
          <w:rFonts w:ascii="Candara" w:hAnsi="Candara"/>
        </w:rPr>
        <w:t xml:space="preserve">State </w:t>
      </w:r>
      <w:r w:rsidRPr="00D633B5">
        <w:rPr>
          <w:rFonts w:ascii="Candara" w:hAnsi="Candara"/>
        </w:rPr>
        <w:t xml:space="preserve">should take steps to develop one. </w:t>
      </w:r>
    </w:p>
    <w:p w14:paraId="4FB04C41" w14:textId="7A3C898C" w:rsidR="00BA0E35" w:rsidRPr="00D633B5" w:rsidRDefault="006F5BF8" w:rsidP="009227EF">
      <w:pPr>
        <w:pStyle w:val="Heading1"/>
        <w:tabs>
          <w:tab w:val="left" w:pos="567"/>
        </w:tabs>
        <w:ind w:left="709" w:hanging="709"/>
        <w:rPr>
          <w:rFonts w:ascii="Candara" w:hAnsi="Candara"/>
        </w:rPr>
      </w:pPr>
      <w:r w:rsidRPr="00D633B5">
        <w:rPr>
          <w:rFonts w:ascii="Candara" w:hAnsi="Candara"/>
        </w:rPr>
        <w:lastRenderedPageBreak/>
        <w:t>5</w:t>
      </w:r>
      <w:r w:rsidR="00BA0E35" w:rsidRPr="00D633B5">
        <w:rPr>
          <w:rFonts w:ascii="Candara" w:hAnsi="Candara"/>
        </w:rPr>
        <w:t>.</w:t>
      </w:r>
      <w:r w:rsidR="00BA0E35" w:rsidRPr="00D633B5">
        <w:rPr>
          <w:rFonts w:ascii="Candara" w:hAnsi="Candara"/>
        </w:rPr>
        <w:tab/>
      </w:r>
      <w:bookmarkStart w:id="35" w:name="_Ref24105282"/>
      <w:bookmarkStart w:id="36" w:name="_Toc39746424"/>
      <w:r w:rsidR="00BA0E35" w:rsidRPr="00D633B5">
        <w:rPr>
          <w:rFonts w:ascii="Candara" w:hAnsi="Candara"/>
        </w:rPr>
        <w:t>Domesticating the Toolkit within the State Context</w:t>
      </w:r>
      <w:bookmarkEnd w:id="35"/>
      <w:bookmarkEnd w:id="36"/>
    </w:p>
    <w:p w14:paraId="396A33FA" w14:textId="5FD51FE8" w:rsidR="00BA0E35" w:rsidRPr="00D633B5" w:rsidRDefault="006F5BF8" w:rsidP="00BA0E35">
      <w:pPr>
        <w:pStyle w:val="Heading2"/>
        <w:numPr>
          <w:ilvl w:val="1"/>
          <w:numId w:val="0"/>
        </w:numPr>
        <w:ind w:left="576" w:hanging="576"/>
        <w:rPr>
          <w:rFonts w:ascii="Candara" w:hAnsi="Candara"/>
        </w:rPr>
      </w:pPr>
      <w:bookmarkStart w:id="37" w:name="_Toc39746425"/>
      <w:r w:rsidRPr="00D633B5">
        <w:rPr>
          <w:rFonts w:ascii="Candara" w:hAnsi="Candara"/>
        </w:rPr>
        <w:t>5</w:t>
      </w:r>
      <w:r w:rsidR="00BA0E35" w:rsidRPr="00D633B5">
        <w:rPr>
          <w:rFonts w:ascii="Candara" w:hAnsi="Candara"/>
        </w:rPr>
        <w:t>.1</w:t>
      </w:r>
      <w:r w:rsidR="00BA0E35" w:rsidRPr="00D633B5">
        <w:rPr>
          <w:rFonts w:ascii="Candara" w:hAnsi="Candara"/>
        </w:rPr>
        <w:tab/>
        <w:t>Budget Performance Reporting Templates</w:t>
      </w:r>
      <w:bookmarkEnd w:id="37"/>
    </w:p>
    <w:p w14:paraId="3A58D9E8" w14:textId="4B707B30"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The Budget Performance Reporting MS Excel templates come in two versions – one for transaction level data by date, and one for summary data by quarter.  Depending on the data availability and sources in the </w:t>
      </w:r>
      <w:r w:rsidR="009C5FD9">
        <w:rPr>
          <w:rFonts w:ascii="Candara" w:hAnsi="Candara"/>
        </w:rPr>
        <w:t>S</w:t>
      </w:r>
      <w:r w:rsidRPr="00D633B5">
        <w:rPr>
          <w:rFonts w:ascii="Candara" w:hAnsi="Candara"/>
        </w:rPr>
        <w:t xml:space="preserve">tate, the appropriate template should be chosen. </w:t>
      </w:r>
    </w:p>
    <w:p w14:paraId="7DAC7C2F" w14:textId="77777777" w:rsidR="00BA0E35" w:rsidRPr="00D633B5" w:rsidRDefault="00BA0E35" w:rsidP="00BA0E35">
      <w:pPr>
        <w:pStyle w:val="Heading3"/>
        <w:numPr>
          <w:ilvl w:val="2"/>
          <w:numId w:val="0"/>
        </w:numPr>
        <w:ind w:left="720" w:hanging="720"/>
        <w:rPr>
          <w:rFonts w:ascii="Candara" w:hAnsi="Candara"/>
        </w:rPr>
      </w:pPr>
      <w:bookmarkStart w:id="38" w:name="_Toc39746426"/>
      <w:r w:rsidRPr="00D633B5">
        <w:rPr>
          <w:rFonts w:ascii="Candara" w:hAnsi="Candara"/>
        </w:rPr>
        <w:t>MS Excel Templates</w:t>
      </w:r>
      <w:bookmarkEnd w:id="38"/>
    </w:p>
    <w:p w14:paraId="5D250E49" w14:textId="77777777" w:rsidR="00BA0E35" w:rsidRPr="00D633B5" w:rsidRDefault="00BA0E35" w:rsidP="00BA0E35">
      <w:pPr>
        <w:pStyle w:val="NumberedParagraph"/>
        <w:numPr>
          <w:ilvl w:val="0"/>
          <w:numId w:val="10"/>
        </w:numPr>
        <w:rPr>
          <w:rFonts w:ascii="Candara" w:hAnsi="Candara"/>
        </w:rPr>
      </w:pPr>
      <w:r w:rsidRPr="00D633B5">
        <w:rPr>
          <w:rFonts w:ascii="Candara" w:hAnsi="Candara"/>
        </w:rPr>
        <w:t>The workbooks involve some intermediate level MS Excel manipulations, including:</w:t>
      </w:r>
    </w:p>
    <w:p w14:paraId="71A1E00E" w14:textId="77777777" w:rsidR="00BA0E35" w:rsidRPr="00D633B5" w:rsidRDefault="00BA0E35" w:rsidP="00BA0E35">
      <w:pPr>
        <w:pStyle w:val="ListBullet"/>
        <w:rPr>
          <w:rFonts w:ascii="Candara" w:hAnsi="Candara"/>
        </w:rPr>
      </w:pPr>
      <w:r w:rsidRPr="00D633B5">
        <w:rPr>
          <w:rFonts w:ascii="Candara" w:hAnsi="Candara"/>
        </w:rPr>
        <w:t>SUMIF(S) statements</w:t>
      </w:r>
    </w:p>
    <w:p w14:paraId="6A1D7B9C" w14:textId="77777777" w:rsidR="00BA0E35" w:rsidRPr="00D633B5" w:rsidRDefault="00BA0E35" w:rsidP="00BA0E35">
      <w:pPr>
        <w:pStyle w:val="ListBullet"/>
        <w:rPr>
          <w:rFonts w:ascii="Candara" w:hAnsi="Candara"/>
        </w:rPr>
      </w:pPr>
      <w:r w:rsidRPr="00D633B5">
        <w:rPr>
          <w:rFonts w:ascii="Candara" w:hAnsi="Candara"/>
        </w:rPr>
        <w:t>Lookup Tables</w:t>
      </w:r>
    </w:p>
    <w:p w14:paraId="081BF9B3" w14:textId="2E41DFFA" w:rsidR="00BA0E35" w:rsidRPr="00D633B5" w:rsidRDefault="00BA0E35" w:rsidP="00BA0E35">
      <w:pPr>
        <w:pStyle w:val="ListBullet"/>
        <w:rPr>
          <w:rFonts w:ascii="Candara" w:hAnsi="Candara"/>
        </w:rPr>
      </w:pPr>
      <w:r w:rsidRPr="00D633B5">
        <w:rPr>
          <w:rFonts w:ascii="Candara" w:hAnsi="Candara"/>
        </w:rPr>
        <w:t xml:space="preserve">Drop-Down Lists (and conditional </w:t>
      </w:r>
      <w:r w:rsidR="009227EF" w:rsidRPr="00D633B5">
        <w:rPr>
          <w:rFonts w:ascii="Candara" w:hAnsi="Candara"/>
        </w:rPr>
        <w:t>dropdowns</w:t>
      </w:r>
      <w:r w:rsidRPr="00D633B5">
        <w:rPr>
          <w:rFonts w:ascii="Candara" w:hAnsi="Candara"/>
        </w:rPr>
        <w:t>)</w:t>
      </w:r>
    </w:p>
    <w:p w14:paraId="3446FC54" w14:textId="303A3BFC"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As noted in section 6.B.2, the templates require the NCOA structure to be inserted </w:t>
      </w:r>
      <w:r w:rsidR="009227EF" w:rsidRPr="00D633B5">
        <w:rPr>
          <w:rFonts w:ascii="Candara" w:hAnsi="Candara"/>
        </w:rPr>
        <w:t>for</w:t>
      </w:r>
      <w:r w:rsidRPr="00D633B5">
        <w:rPr>
          <w:rFonts w:ascii="Candara" w:hAnsi="Candara"/>
        </w:rPr>
        <w:t xml:space="preserve"> the data entry and summary sheets to function. The NCOA must be inserted into sheets for each of the following segments:</w:t>
      </w:r>
    </w:p>
    <w:p w14:paraId="224AF41D" w14:textId="77777777" w:rsidR="00BA0E35" w:rsidRPr="00D633B5" w:rsidRDefault="00BA0E35" w:rsidP="00BA0E35">
      <w:pPr>
        <w:pStyle w:val="ListBullet"/>
        <w:rPr>
          <w:rFonts w:ascii="Candara" w:hAnsi="Candara"/>
        </w:rPr>
      </w:pPr>
      <w:r w:rsidRPr="00D633B5">
        <w:rPr>
          <w:rFonts w:ascii="Candara" w:hAnsi="Candara"/>
        </w:rPr>
        <w:t>Economic – Expenditure</w:t>
      </w:r>
    </w:p>
    <w:p w14:paraId="3083CEF5" w14:textId="77777777" w:rsidR="00BA0E35" w:rsidRPr="00D633B5" w:rsidRDefault="00BA0E35" w:rsidP="00BA0E35">
      <w:pPr>
        <w:pStyle w:val="ListBullet"/>
        <w:rPr>
          <w:rFonts w:ascii="Candara" w:hAnsi="Candara"/>
        </w:rPr>
      </w:pPr>
      <w:r w:rsidRPr="00D633B5">
        <w:rPr>
          <w:rFonts w:ascii="Candara" w:hAnsi="Candara"/>
        </w:rPr>
        <w:t>Economic – Revenue</w:t>
      </w:r>
    </w:p>
    <w:p w14:paraId="4BA75F5A" w14:textId="77777777" w:rsidR="00BA0E35" w:rsidRPr="00D633B5" w:rsidRDefault="00BA0E35" w:rsidP="00BA0E35">
      <w:pPr>
        <w:pStyle w:val="ListBullet"/>
        <w:rPr>
          <w:rFonts w:ascii="Candara" w:hAnsi="Candara"/>
        </w:rPr>
      </w:pPr>
      <w:r w:rsidRPr="00D633B5">
        <w:rPr>
          <w:rFonts w:ascii="Candara" w:hAnsi="Candara"/>
        </w:rPr>
        <w:t>Administrative</w:t>
      </w:r>
    </w:p>
    <w:p w14:paraId="6F01CB12" w14:textId="77777777" w:rsidR="00BA0E35" w:rsidRPr="00D633B5" w:rsidRDefault="00BA0E35" w:rsidP="00BA0E35">
      <w:pPr>
        <w:pStyle w:val="ListBullet"/>
        <w:rPr>
          <w:rFonts w:ascii="Candara" w:hAnsi="Candara"/>
        </w:rPr>
      </w:pPr>
      <w:r w:rsidRPr="00D633B5">
        <w:rPr>
          <w:rFonts w:ascii="Candara" w:hAnsi="Candara"/>
        </w:rPr>
        <w:t>Functional</w:t>
      </w:r>
    </w:p>
    <w:p w14:paraId="32D86767" w14:textId="77777777" w:rsidR="00BA0E35" w:rsidRPr="00D633B5" w:rsidRDefault="00BA0E35" w:rsidP="00BA0E35">
      <w:pPr>
        <w:pStyle w:val="ListBullet"/>
        <w:rPr>
          <w:rFonts w:ascii="Candara" w:hAnsi="Candara"/>
        </w:rPr>
      </w:pPr>
      <w:r w:rsidRPr="00D633B5">
        <w:rPr>
          <w:rFonts w:ascii="Candara" w:hAnsi="Candara"/>
        </w:rPr>
        <w:t>Location</w:t>
      </w:r>
    </w:p>
    <w:p w14:paraId="3303A99E" w14:textId="77777777"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The above classifications, which need to include the full hierarchy of the coding structure for each segment, define both the drop downs in the data entry worksheets and the summary sheets that use SUMIF statements. </w:t>
      </w:r>
    </w:p>
    <w:p w14:paraId="2E8EEC04" w14:textId="77777777"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Any further modification beyond the Chart of Accounts will require intermediate to advanced MS Excel skills involved the manipulations noted above. </w:t>
      </w:r>
    </w:p>
    <w:p w14:paraId="3C011238" w14:textId="77777777"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If Function and or Location segments are not needed, the worksheets for reports and NCOA segments can be hidden. </w: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20"/>
      </w:tblGrid>
      <w:tr w:rsidR="00BA0E35" w:rsidRPr="00D633B5" w14:paraId="6E4D3164" w14:textId="77777777" w:rsidTr="00A866BB">
        <w:trPr>
          <w:trHeight w:val="2977"/>
        </w:trPr>
        <w:tc>
          <w:tcPr>
            <w:tcW w:w="9020" w:type="dxa"/>
            <w:shd w:val="clear" w:color="auto" w:fill="D9D9D9" w:themeFill="background1" w:themeFillShade="D9"/>
          </w:tcPr>
          <w:p w14:paraId="1024D41A" w14:textId="6211CEB8" w:rsidR="00BA0E35" w:rsidRPr="00D633B5" w:rsidRDefault="00BA0E35" w:rsidP="00A866BB">
            <w:pPr>
              <w:pStyle w:val="Caption"/>
              <w:jc w:val="left"/>
              <w:rPr>
                <w:rFonts w:ascii="Candara" w:hAnsi="Candara"/>
                <w:szCs w:val="22"/>
              </w:rPr>
            </w:pPr>
            <w:bookmarkStart w:id="39" w:name="_Toc39746468"/>
            <w:r w:rsidRPr="00D633B5">
              <w:rPr>
                <w:rFonts w:ascii="Candara" w:hAnsi="Candara"/>
              </w:rPr>
              <w:t xml:space="preserve">Box 1 – </w:t>
            </w:r>
            <w:r w:rsidRPr="00D633B5">
              <w:rPr>
                <w:rFonts w:ascii="Candara" w:hAnsi="Candara"/>
                <w:szCs w:val="22"/>
              </w:rPr>
              <w:t>Hiding Worksheets in MS Excel</w:t>
            </w:r>
            <w:bookmarkEnd w:id="39"/>
          </w:p>
          <w:p w14:paraId="6FE9902E" w14:textId="77777777" w:rsidR="00BA0E35" w:rsidRPr="00D633B5" w:rsidRDefault="00BA0E35" w:rsidP="00A866BB">
            <w:pPr>
              <w:pStyle w:val="NumberedParagraph"/>
              <w:numPr>
                <w:ilvl w:val="0"/>
                <w:numId w:val="0"/>
              </w:numPr>
              <w:ind w:left="22" w:hanging="22"/>
              <w:rPr>
                <w:rFonts w:ascii="Candara" w:hAnsi="Candara"/>
              </w:rPr>
            </w:pPr>
            <w:r w:rsidRPr="00D633B5">
              <w:rPr>
                <w:rFonts w:ascii="Candara" w:hAnsi="Candara"/>
                <w:noProof/>
              </w:rPr>
              <w:drawing>
                <wp:anchor distT="0" distB="0" distL="114300" distR="114300" simplePos="0" relativeHeight="251659264" behindDoc="0" locked="0" layoutInCell="1" allowOverlap="1" wp14:anchorId="762455BB" wp14:editId="6AF9EB54">
                  <wp:simplePos x="0" y="0"/>
                  <wp:positionH relativeFrom="column">
                    <wp:posOffset>0</wp:posOffset>
                  </wp:positionH>
                  <wp:positionV relativeFrom="paragraph">
                    <wp:posOffset>-378460</wp:posOffset>
                  </wp:positionV>
                  <wp:extent cx="2192020" cy="1796415"/>
                  <wp:effectExtent l="0" t="0" r="0" b="0"/>
                  <wp:wrapTight wrapText="bothSides">
                    <wp:wrapPolygon edited="0">
                      <wp:start x="0" y="0"/>
                      <wp:lineTo x="0" y="21302"/>
                      <wp:lineTo x="21400" y="21302"/>
                      <wp:lineTo x="21400"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192020" cy="1796415"/>
                          </a:xfrm>
                          <a:prstGeom prst="rect">
                            <a:avLst/>
                          </a:prstGeom>
                        </pic:spPr>
                      </pic:pic>
                    </a:graphicData>
                  </a:graphic>
                  <wp14:sizeRelH relativeFrom="page">
                    <wp14:pctWidth>0</wp14:pctWidth>
                  </wp14:sizeRelH>
                  <wp14:sizeRelV relativeFrom="page">
                    <wp14:pctHeight>0</wp14:pctHeight>
                  </wp14:sizeRelV>
                </wp:anchor>
              </w:drawing>
            </w:r>
            <w:r w:rsidRPr="00D633B5">
              <w:rPr>
                <w:rFonts w:ascii="Candara" w:hAnsi="Candara"/>
              </w:rPr>
              <w:t xml:space="preserve">Hiding Worksheet - Right click on the worksheet that needs to be hidden and click on “Hide” in the menu box. To unhide a worksheet, right click on any worksheet that is visible and choose “Unhide” – a list of hidden worksheets will appear, choose the one that you wish to unhide. </w:t>
            </w:r>
          </w:p>
        </w:tc>
      </w:tr>
    </w:tbl>
    <w:p w14:paraId="226CACC3" w14:textId="5E9583CA" w:rsidR="00BA0E35" w:rsidRPr="00D633B5" w:rsidRDefault="00BA0E35" w:rsidP="00BA0E35">
      <w:pPr>
        <w:pStyle w:val="NumberedParagraph"/>
        <w:numPr>
          <w:ilvl w:val="0"/>
          <w:numId w:val="10"/>
        </w:numPr>
        <w:rPr>
          <w:rFonts w:ascii="Candara" w:hAnsi="Candara"/>
        </w:rPr>
      </w:pPr>
      <w:r w:rsidRPr="00D633B5">
        <w:rPr>
          <w:rFonts w:ascii="Candara" w:hAnsi="Candara"/>
        </w:rPr>
        <w:t>Finally, it might</w:t>
      </w:r>
      <w:r w:rsidR="00D52B27">
        <w:rPr>
          <w:rFonts w:ascii="Candara" w:hAnsi="Candara"/>
        </w:rPr>
        <w:t xml:space="preserve"> </w:t>
      </w:r>
      <w:r w:rsidR="00E824B5">
        <w:rPr>
          <w:rFonts w:ascii="Candara" w:hAnsi="Candara"/>
        </w:rPr>
        <w:t>benefit</w:t>
      </w:r>
      <w:r w:rsidR="00D52B27">
        <w:rPr>
          <w:rFonts w:ascii="Candara" w:hAnsi="Candara"/>
        </w:rPr>
        <w:t xml:space="preserve"> </w:t>
      </w:r>
      <w:r w:rsidR="009C5FD9">
        <w:rPr>
          <w:rFonts w:ascii="Candara" w:hAnsi="Candara"/>
        </w:rPr>
        <w:t>the</w:t>
      </w:r>
      <w:r w:rsidR="00001FF1">
        <w:rPr>
          <w:rFonts w:ascii="Candara" w:hAnsi="Candara"/>
        </w:rPr>
        <w:t xml:space="preserve"> user of this template</w:t>
      </w:r>
      <w:r w:rsidRPr="00D633B5">
        <w:rPr>
          <w:rFonts w:ascii="Candara" w:hAnsi="Candara"/>
        </w:rPr>
        <w:t xml:space="preserve"> to protect the worksheets with a password (they are currently protected without password) just for added level of protection against accidental interference. If a password is added, it should be noted somewhere in the </w:t>
      </w:r>
      <w:r w:rsidR="009C5FD9">
        <w:rPr>
          <w:rFonts w:ascii="Candara" w:hAnsi="Candara"/>
        </w:rPr>
        <w:t>“</w:t>
      </w:r>
      <w:r w:rsidRPr="00D633B5">
        <w:rPr>
          <w:rFonts w:ascii="Candara" w:hAnsi="Candara"/>
        </w:rPr>
        <w:t>0. Summary</w:t>
      </w:r>
      <w:r w:rsidR="009C5FD9">
        <w:rPr>
          <w:rFonts w:ascii="Candara" w:hAnsi="Candara"/>
        </w:rPr>
        <w:t>”</w:t>
      </w:r>
      <w:r w:rsidRPr="00D633B5">
        <w:rPr>
          <w:rFonts w:ascii="Candara" w:hAnsi="Candara"/>
        </w:rPr>
        <w:t xml:space="preserve"> worksheet.</w:t>
      </w:r>
    </w:p>
    <w:p w14:paraId="3E2C69D1" w14:textId="2B3EC936" w:rsidR="00BA0E35" w:rsidRPr="00D633B5" w:rsidRDefault="00BA0E35" w:rsidP="00BA0E35">
      <w:pPr>
        <w:pStyle w:val="NumberedParagraph"/>
        <w:numPr>
          <w:ilvl w:val="0"/>
          <w:numId w:val="0"/>
        </w:numPr>
        <w:rPr>
          <w:rFonts w:ascii="Candara" w:hAnsi="Candara"/>
        </w:rPr>
      </w:pPr>
    </w:p>
    <w:p w14:paraId="22B9F542" w14:textId="5302BA3E" w:rsidR="00BA0E35" w:rsidRPr="00D633B5" w:rsidRDefault="00BA0E35" w:rsidP="00BA0E35">
      <w:pPr>
        <w:pStyle w:val="NumberedParagraph"/>
        <w:numPr>
          <w:ilvl w:val="0"/>
          <w:numId w:val="0"/>
        </w:numPr>
        <w:rPr>
          <w:rFonts w:ascii="Candara" w:hAnsi="Candara"/>
        </w:rPr>
      </w:pPr>
    </w:p>
    <w:p w14:paraId="2AAFD17D" w14:textId="46A4DCD1" w:rsidR="00BA0E35" w:rsidRPr="00D633B5" w:rsidRDefault="00BA0E35" w:rsidP="00BA0E35">
      <w:pPr>
        <w:pStyle w:val="NumberedParagraph"/>
        <w:numPr>
          <w:ilvl w:val="0"/>
          <w:numId w:val="0"/>
        </w:numPr>
        <w:rPr>
          <w:rFonts w:ascii="Candara" w:hAnsi="Candara"/>
        </w:rPr>
      </w:pPr>
    </w:p>
    <w:p w14:paraId="3DB82733" w14:textId="77777777" w:rsidR="00BA0E35" w:rsidRPr="00D633B5" w:rsidRDefault="00BA0E35" w:rsidP="00BA0E35">
      <w:pPr>
        <w:pStyle w:val="NumberedParagraph"/>
        <w:numPr>
          <w:ilvl w:val="0"/>
          <w:numId w:val="0"/>
        </w:numPr>
        <w:rPr>
          <w:rFonts w:ascii="Candara" w:hAnsi="Candara"/>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138"/>
      </w:tblGrid>
      <w:tr w:rsidR="00BA0E35" w:rsidRPr="00D633B5" w14:paraId="0FBEE336" w14:textId="77777777" w:rsidTr="00A866BB">
        <w:tc>
          <w:tcPr>
            <w:tcW w:w="9020" w:type="dxa"/>
            <w:shd w:val="clear" w:color="auto" w:fill="D9D9D9" w:themeFill="background1" w:themeFillShade="D9"/>
          </w:tcPr>
          <w:p w14:paraId="48E43A83" w14:textId="521CAC28" w:rsidR="00BA0E35" w:rsidRPr="00D633B5" w:rsidRDefault="00BA0E35" w:rsidP="00A866BB">
            <w:pPr>
              <w:pStyle w:val="Caption"/>
              <w:rPr>
                <w:rFonts w:ascii="Candara" w:hAnsi="Candara"/>
                <w:szCs w:val="22"/>
              </w:rPr>
            </w:pPr>
            <w:bookmarkStart w:id="40" w:name="_Toc39746469"/>
            <w:r w:rsidRPr="00D633B5">
              <w:rPr>
                <w:rFonts w:ascii="Candara" w:hAnsi="Candara"/>
              </w:rPr>
              <w:lastRenderedPageBreak/>
              <w:t xml:space="preserve">Box 2 – </w:t>
            </w:r>
            <w:r w:rsidRPr="00D633B5">
              <w:rPr>
                <w:rFonts w:ascii="Candara" w:hAnsi="Candara"/>
                <w:szCs w:val="22"/>
              </w:rPr>
              <w:t>Protecting Worksheets</w:t>
            </w:r>
            <w:bookmarkEnd w:id="40"/>
          </w:p>
          <w:p w14:paraId="76A58748" w14:textId="77777777" w:rsidR="00BA0E35" w:rsidRPr="00D633B5" w:rsidRDefault="00BA0E35" w:rsidP="00A866BB">
            <w:pPr>
              <w:rPr>
                <w:rFonts w:ascii="Candara" w:hAnsi="Candara"/>
              </w:rPr>
            </w:pPr>
            <w:r w:rsidRPr="00D633B5">
              <w:rPr>
                <w:rFonts w:ascii="Candara" w:hAnsi="Candara"/>
                <w:noProof/>
              </w:rPr>
              <w:drawing>
                <wp:inline distT="0" distB="0" distL="0" distR="0" wp14:anchorId="10C5F439" wp14:editId="1536E82E">
                  <wp:extent cx="5665865" cy="3178825"/>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691310" cy="3193101"/>
                          </a:xfrm>
                          <a:prstGeom prst="rect">
                            <a:avLst/>
                          </a:prstGeom>
                        </pic:spPr>
                      </pic:pic>
                    </a:graphicData>
                  </a:graphic>
                </wp:inline>
              </w:drawing>
            </w:r>
          </w:p>
          <w:p w14:paraId="4743D13D" w14:textId="431EF1AC" w:rsidR="00BA0E35" w:rsidRPr="00D633B5" w:rsidRDefault="00BA0E35" w:rsidP="00A866BB">
            <w:pPr>
              <w:pStyle w:val="NumberedParagraph"/>
              <w:numPr>
                <w:ilvl w:val="0"/>
                <w:numId w:val="0"/>
              </w:numPr>
              <w:ind w:left="22" w:hanging="22"/>
              <w:rPr>
                <w:rFonts w:ascii="Candara" w:hAnsi="Candara"/>
              </w:rPr>
            </w:pPr>
            <w:r w:rsidRPr="00D633B5">
              <w:rPr>
                <w:rFonts w:ascii="Candara" w:hAnsi="Candara"/>
              </w:rPr>
              <w:t xml:space="preserve">Go to the review menu and clock on “Protect Worksheet”. A dialogue box will appear asking for a password. To protect without a password, simply click “ok”. To protect with a password, type the password in and click “ok”, and second dialogue box will appear asking you to repeat the password. Type the same password again and click “ok”. The worksheet is now protected (all cells that are protected will not be editable).  </w:t>
            </w:r>
          </w:p>
        </w:tc>
      </w:tr>
    </w:tbl>
    <w:p w14:paraId="432FF6ED" w14:textId="77777777" w:rsidR="00D53331" w:rsidRPr="00D633B5" w:rsidRDefault="00D53331" w:rsidP="00BA0E35">
      <w:pPr>
        <w:pStyle w:val="Heading3"/>
        <w:numPr>
          <w:ilvl w:val="2"/>
          <w:numId w:val="0"/>
        </w:numPr>
        <w:ind w:left="720" w:hanging="720"/>
        <w:rPr>
          <w:rFonts w:ascii="Candara" w:hAnsi="Candara"/>
        </w:rPr>
      </w:pPr>
      <w:bookmarkStart w:id="41" w:name="_Toc39746427"/>
    </w:p>
    <w:p w14:paraId="5A1F1728" w14:textId="77777777" w:rsidR="00D53331" w:rsidRPr="00D633B5" w:rsidRDefault="00D53331" w:rsidP="00BA0E35">
      <w:pPr>
        <w:pStyle w:val="Heading3"/>
        <w:numPr>
          <w:ilvl w:val="2"/>
          <w:numId w:val="0"/>
        </w:numPr>
        <w:ind w:left="720" w:hanging="720"/>
        <w:rPr>
          <w:rFonts w:ascii="Candara" w:hAnsi="Candara"/>
        </w:rPr>
      </w:pPr>
    </w:p>
    <w:p w14:paraId="1C509638" w14:textId="77777777" w:rsidR="00D53331" w:rsidRPr="00D633B5" w:rsidRDefault="00D53331" w:rsidP="00BA0E35">
      <w:pPr>
        <w:pStyle w:val="Heading3"/>
        <w:numPr>
          <w:ilvl w:val="2"/>
          <w:numId w:val="0"/>
        </w:numPr>
        <w:ind w:left="720" w:hanging="720"/>
        <w:rPr>
          <w:rFonts w:ascii="Candara" w:hAnsi="Candara"/>
        </w:rPr>
      </w:pPr>
    </w:p>
    <w:p w14:paraId="3C28B293" w14:textId="77777777" w:rsidR="00D53331" w:rsidRPr="00D633B5" w:rsidRDefault="00D53331" w:rsidP="00BA0E35">
      <w:pPr>
        <w:pStyle w:val="Heading3"/>
        <w:numPr>
          <w:ilvl w:val="2"/>
          <w:numId w:val="0"/>
        </w:numPr>
        <w:ind w:left="720" w:hanging="720"/>
        <w:rPr>
          <w:rFonts w:ascii="Candara" w:hAnsi="Candara"/>
        </w:rPr>
      </w:pPr>
    </w:p>
    <w:p w14:paraId="3A65D11C" w14:textId="77777777" w:rsidR="00D53331" w:rsidRPr="00D633B5" w:rsidRDefault="00D53331" w:rsidP="00BA0E35">
      <w:pPr>
        <w:pStyle w:val="Heading3"/>
        <w:numPr>
          <w:ilvl w:val="2"/>
          <w:numId w:val="0"/>
        </w:numPr>
        <w:ind w:left="720" w:hanging="720"/>
        <w:rPr>
          <w:rFonts w:ascii="Candara" w:hAnsi="Candara"/>
        </w:rPr>
      </w:pPr>
    </w:p>
    <w:p w14:paraId="6A05E203" w14:textId="77777777" w:rsidR="00D53331" w:rsidRPr="00D633B5" w:rsidRDefault="00D53331" w:rsidP="00BA0E35">
      <w:pPr>
        <w:pStyle w:val="Heading3"/>
        <w:numPr>
          <w:ilvl w:val="2"/>
          <w:numId w:val="0"/>
        </w:numPr>
        <w:ind w:left="720" w:hanging="720"/>
        <w:rPr>
          <w:rFonts w:ascii="Candara" w:hAnsi="Candara"/>
        </w:rPr>
      </w:pPr>
    </w:p>
    <w:p w14:paraId="1ECAF2DB" w14:textId="77777777" w:rsidR="00D53331" w:rsidRPr="00D633B5" w:rsidRDefault="00D53331" w:rsidP="00BA0E35">
      <w:pPr>
        <w:pStyle w:val="Heading3"/>
        <w:numPr>
          <w:ilvl w:val="2"/>
          <w:numId w:val="0"/>
        </w:numPr>
        <w:ind w:left="720" w:hanging="720"/>
        <w:rPr>
          <w:rFonts w:ascii="Candara" w:hAnsi="Candara"/>
        </w:rPr>
      </w:pPr>
    </w:p>
    <w:p w14:paraId="501D527D" w14:textId="77777777" w:rsidR="00D53331" w:rsidRPr="00D633B5" w:rsidRDefault="00D53331" w:rsidP="00BA0E35">
      <w:pPr>
        <w:pStyle w:val="Heading3"/>
        <w:numPr>
          <w:ilvl w:val="2"/>
          <w:numId w:val="0"/>
        </w:numPr>
        <w:ind w:left="720" w:hanging="720"/>
        <w:rPr>
          <w:rFonts w:ascii="Candara" w:hAnsi="Candara"/>
        </w:rPr>
      </w:pPr>
    </w:p>
    <w:p w14:paraId="5FA772A5" w14:textId="77777777" w:rsidR="00D53331" w:rsidRPr="00D633B5" w:rsidRDefault="00D53331" w:rsidP="00BA0E35">
      <w:pPr>
        <w:pStyle w:val="Heading3"/>
        <w:numPr>
          <w:ilvl w:val="2"/>
          <w:numId w:val="0"/>
        </w:numPr>
        <w:ind w:left="720" w:hanging="720"/>
        <w:rPr>
          <w:rFonts w:ascii="Candara" w:hAnsi="Candara"/>
        </w:rPr>
      </w:pPr>
    </w:p>
    <w:p w14:paraId="5692CD4E" w14:textId="77777777" w:rsidR="00D53331" w:rsidRPr="00D633B5" w:rsidRDefault="00D53331" w:rsidP="00BA0E35">
      <w:pPr>
        <w:pStyle w:val="Heading3"/>
        <w:numPr>
          <w:ilvl w:val="2"/>
          <w:numId w:val="0"/>
        </w:numPr>
        <w:ind w:left="720" w:hanging="720"/>
        <w:rPr>
          <w:rFonts w:ascii="Candara" w:hAnsi="Candara"/>
        </w:rPr>
      </w:pPr>
    </w:p>
    <w:p w14:paraId="676B8C1E" w14:textId="77777777" w:rsidR="00D53331" w:rsidRPr="00D633B5" w:rsidRDefault="00D53331" w:rsidP="00BA0E35">
      <w:pPr>
        <w:pStyle w:val="Heading3"/>
        <w:numPr>
          <w:ilvl w:val="2"/>
          <w:numId w:val="0"/>
        </w:numPr>
        <w:ind w:left="720" w:hanging="720"/>
        <w:rPr>
          <w:rFonts w:ascii="Candara" w:hAnsi="Candara"/>
        </w:rPr>
      </w:pPr>
    </w:p>
    <w:p w14:paraId="15079DA8" w14:textId="77777777" w:rsidR="00D53331" w:rsidRPr="00D633B5" w:rsidRDefault="00D53331" w:rsidP="00BA0E35">
      <w:pPr>
        <w:pStyle w:val="Heading3"/>
        <w:numPr>
          <w:ilvl w:val="2"/>
          <w:numId w:val="0"/>
        </w:numPr>
        <w:ind w:left="720" w:hanging="720"/>
        <w:rPr>
          <w:rFonts w:ascii="Candara" w:hAnsi="Candara"/>
        </w:rPr>
      </w:pPr>
    </w:p>
    <w:p w14:paraId="5F1F4E34" w14:textId="77777777" w:rsidR="00D53331" w:rsidRPr="00D633B5" w:rsidRDefault="00D53331" w:rsidP="00BA0E35">
      <w:pPr>
        <w:pStyle w:val="Heading3"/>
        <w:numPr>
          <w:ilvl w:val="2"/>
          <w:numId w:val="0"/>
        </w:numPr>
        <w:ind w:left="720" w:hanging="720"/>
        <w:rPr>
          <w:rFonts w:ascii="Candara" w:hAnsi="Candara"/>
        </w:rPr>
      </w:pPr>
    </w:p>
    <w:p w14:paraId="02F13A05" w14:textId="77777777" w:rsidR="00D53331" w:rsidRPr="00D633B5" w:rsidRDefault="00D53331" w:rsidP="00BA0E35">
      <w:pPr>
        <w:pStyle w:val="Heading3"/>
        <w:numPr>
          <w:ilvl w:val="2"/>
          <w:numId w:val="0"/>
        </w:numPr>
        <w:ind w:left="720" w:hanging="720"/>
        <w:rPr>
          <w:rFonts w:ascii="Candara" w:hAnsi="Candara"/>
        </w:rPr>
      </w:pPr>
    </w:p>
    <w:p w14:paraId="291F3E20" w14:textId="750E9C0E" w:rsidR="00BA0E35" w:rsidRPr="00D633B5" w:rsidRDefault="00BA0E35" w:rsidP="00D53331">
      <w:pPr>
        <w:pStyle w:val="Heading3"/>
        <w:numPr>
          <w:ilvl w:val="2"/>
          <w:numId w:val="0"/>
        </w:numPr>
        <w:ind w:left="720" w:hanging="720"/>
        <w:rPr>
          <w:rFonts w:ascii="Candara" w:hAnsi="Candara"/>
        </w:rPr>
      </w:pPr>
      <w:r w:rsidRPr="00D633B5">
        <w:rPr>
          <w:rFonts w:ascii="Candara" w:hAnsi="Candara"/>
        </w:rPr>
        <w:t>MS Word</w:t>
      </w:r>
      <w:r w:rsidR="00D53331" w:rsidRPr="00D633B5">
        <w:rPr>
          <w:rFonts w:ascii="Candara" w:hAnsi="Candara"/>
        </w:rPr>
        <w:t xml:space="preserve"> </w:t>
      </w:r>
      <w:r w:rsidRPr="00D633B5">
        <w:rPr>
          <w:rFonts w:ascii="Candara" w:hAnsi="Candara"/>
        </w:rPr>
        <w:t>Template</w:t>
      </w:r>
      <w:bookmarkEnd w:id="41"/>
    </w:p>
    <w:p w14:paraId="2E9F0B3F" w14:textId="26AD20A3"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A simple White Label MS Word template for pasting the tables from the MS Excel has been included. This includes a caption and page for all reports in the MS Excel document. </w:t>
      </w:r>
    </w:p>
    <w:p w14:paraId="267F3D84" w14:textId="77777777" w:rsidR="00BA0E35" w:rsidRPr="00D633B5" w:rsidRDefault="00BA0E35" w:rsidP="00BA0E35">
      <w:pPr>
        <w:pStyle w:val="Heading3"/>
        <w:numPr>
          <w:ilvl w:val="2"/>
          <w:numId w:val="0"/>
        </w:numPr>
        <w:ind w:left="720" w:hanging="720"/>
        <w:rPr>
          <w:rFonts w:ascii="Candara" w:hAnsi="Candara"/>
        </w:rPr>
      </w:pPr>
      <w:bookmarkStart w:id="42" w:name="_Toc39746428"/>
      <w:r w:rsidRPr="00D633B5">
        <w:rPr>
          <w:rFonts w:ascii="Candara" w:hAnsi="Candara"/>
        </w:rPr>
        <w:t>Instructions</w:t>
      </w:r>
      <w:bookmarkEnd w:id="42"/>
    </w:p>
    <w:p w14:paraId="7A67AB52" w14:textId="77777777" w:rsidR="00BA0E35" w:rsidRPr="00D633B5" w:rsidRDefault="00BA0E35" w:rsidP="00BA0E35">
      <w:pPr>
        <w:pStyle w:val="NumberedParagraph"/>
        <w:numPr>
          <w:ilvl w:val="0"/>
          <w:numId w:val="10"/>
        </w:numPr>
        <w:rPr>
          <w:rFonts w:ascii="Candara" w:hAnsi="Candara"/>
        </w:rPr>
      </w:pPr>
      <w:r w:rsidRPr="00D633B5">
        <w:rPr>
          <w:rFonts w:ascii="Candara" w:hAnsi="Candara"/>
        </w:rPr>
        <w:t xml:space="preserve">The instructions should be updated to reflect any changes as to the MS Excel templates. </w:t>
      </w:r>
    </w:p>
    <w:p w14:paraId="1ECE2DC9" w14:textId="47FE0669" w:rsidR="00D53331" w:rsidRPr="00D633B5" w:rsidRDefault="006F5BF8" w:rsidP="00D53331">
      <w:pPr>
        <w:pStyle w:val="Heading1"/>
        <w:rPr>
          <w:rFonts w:ascii="Candara" w:hAnsi="Candara"/>
        </w:rPr>
      </w:pPr>
      <w:r w:rsidRPr="00D633B5">
        <w:rPr>
          <w:rFonts w:ascii="Candara" w:hAnsi="Candara"/>
        </w:rPr>
        <w:lastRenderedPageBreak/>
        <w:t>6</w:t>
      </w:r>
      <w:r w:rsidR="00D53331" w:rsidRPr="00D633B5">
        <w:rPr>
          <w:rFonts w:ascii="Candara" w:hAnsi="Candara"/>
        </w:rPr>
        <w:t>.</w:t>
      </w:r>
      <w:r w:rsidR="00D53331" w:rsidRPr="00D633B5">
        <w:rPr>
          <w:rFonts w:ascii="Candara" w:hAnsi="Candara"/>
        </w:rPr>
        <w:tab/>
      </w:r>
      <w:bookmarkStart w:id="43" w:name="_Toc39746430"/>
      <w:r w:rsidR="00D53331" w:rsidRPr="00D633B5">
        <w:rPr>
          <w:rFonts w:ascii="Candara" w:hAnsi="Candara"/>
        </w:rPr>
        <w:t>Glossary</w:t>
      </w:r>
      <w:bookmarkEnd w:id="43"/>
    </w:p>
    <w:p w14:paraId="66BF4857" w14:textId="1039E97A" w:rsidR="00D53331" w:rsidRPr="00D633B5" w:rsidRDefault="00D53331" w:rsidP="00D53331">
      <w:pPr>
        <w:pStyle w:val="Caption"/>
        <w:rPr>
          <w:rFonts w:ascii="Candara" w:hAnsi="Candara"/>
        </w:rPr>
      </w:pPr>
      <w:bookmarkStart w:id="44" w:name="_Toc26698276"/>
      <w:bookmarkStart w:id="45" w:name="_Toc39746461"/>
      <w:r w:rsidRPr="00D633B5">
        <w:rPr>
          <w:rFonts w:ascii="Candara" w:hAnsi="Candara"/>
        </w:rPr>
        <w:t>Glossary of terms and abbreviations</w:t>
      </w:r>
      <w:bookmarkEnd w:id="44"/>
      <w:bookmarkEnd w:id="45"/>
    </w:p>
    <w:tbl>
      <w:tblPr>
        <w:tblW w:w="4802" w:type="pct"/>
        <w:tblInd w:w="108" w:type="dxa"/>
        <w:tblBorders>
          <w:top w:val="single" w:sz="8" w:space="0" w:color="9DBCB0"/>
          <w:left w:val="single" w:sz="8" w:space="0" w:color="9DBCB0"/>
          <w:bottom w:val="single" w:sz="8" w:space="0" w:color="9DBCB0"/>
          <w:right w:val="single" w:sz="8" w:space="0" w:color="9DBCB0"/>
          <w:insideH w:val="single" w:sz="8" w:space="0" w:color="9DBCB0"/>
          <w:insideV w:val="single" w:sz="8" w:space="0" w:color="9DBCB0"/>
        </w:tblBorders>
        <w:tblLook w:val="01E0" w:firstRow="1" w:lastRow="1" w:firstColumn="1" w:lastColumn="1" w:noHBand="0" w:noVBand="0"/>
      </w:tblPr>
      <w:tblGrid>
        <w:gridCol w:w="3046"/>
        <w:gridCol w:w="6650"/>
      </w:tblGrid>
      <w:tr w:rsidR="00D53331" w:rsidRPr="00D633B5" w14:paraId="7555EB25" w14:textId="77777777" w:rsidTr="00A866BB">
        <w:trPr>
          <w:cantSplit/>
          <w:tblHeader/>
        </w:trPr>
        <w:tc>
          <w:tcPr>
            <w:tcW w:w="1571" w:type="pct"/>
            <w:tcBorders>
              <w:top w:val="single" w:sz="8" w:space="0" w:color="9DBCB0"/>
              <w:left w:val="single" w:sz="8" w:space="0" w:color="9DBCB0"/>
              <w:bottom w:val="single" w:sz="8" w:space="0" w:color="9DBCB0"/>
              <w:right w:val="single" w:sz="8" w:space="0" w:color="9DBCB0"/>
            </w:tcBorders>
            <w:shd w:val="clear" w:color="auto" w:fill="32746D"/>
            <w:vAlign w:val="center"/>
            <w:hideMark/>
          </w:tcPr>
          <w:p w14:paraId="53472704" w14:textId="77777777" w:rsidR="00D53331" w:rsidRPr="00D633B5" w:rsidRDefault="00D53331" w:rsidP="00A866BB">
            <w:pPr>
              <w:pStyle w:val="Tabletitle"/>
              <w:jc w:val="left"/>
              <w:rPr>
                <w:rFonts w:ascii="Candara" w:hAnsi="Candara"/>
                <w:lang w:val="en-GB"/>
              </w:rPr>
            </w:pPr>
            <w:r w:rsidRPr="00D633B5">
              <w:rPr>
                <w:rFonts w:ascii="Candara" w:hAnsi="Candara"/>
                <w:lang w:val="en-GB"/>
              </w:rPr>
              <w:t>Term</w:t>
            </w:r>
          </w:p>
        </w:tc>
        <w:tc>
          <w:tcPr>
            <w:tcW w:w="3429" w:type="pct"/>
            <w:tcBorders>
              <w:top w:val="single" w:sz="8" w:space="0" w:color="9DBCB0"/>
              <w:left w:val="single" w:sz="8" w:space="0" w:color="9DBCB0"/>
              <w:bottom w:val="single" w:sz="8" w:space="0" w:color="9DBCB0"/>
              <w:right w:val="single" w:sz="8" w:space="0" w:color="9DBCB0"/>
            </w:tcBorders>
            <w:shd w:val="clear" w:color="auto" w:fill="32746D"/>
            <w:vAlign w:val="center"/>
            <w:hideMark/>
          </w:tcPr>
          <w:p w14:paraId="6BB0B67E" w14:textId="77777777" w:rsidR="00D53331" w:rsidRPr="00D633B5" w:rsidRDefault="00D53331" w:rsidP="00A866BB">
            <w:pPr>
              <w:pStyle w:val="Tabletitle"/>
              <w:jc w:val="left"/>
              <w:rPr>
                <w:rFonts w:ascii="Candara" w:hAnsi="Candara"/>
                <w:lang w:val="en-GB"/>
              </w:rPr>
            </w:pPr>
            <w:r w:rsidRPr="00D633B5">
              <w:rPr>
                <w:rFonts w:ascii="Candara" w:hAnsi="Candara"/>
                <w:lang w:val="en-GB"/>
              </w:rPr>
              <w:t>Meaning</w:t>
            </w:r>
          </w:p>
        </w:tc>
      </w:tr>
      <w:tr w:rsidR="00D53331" w:rsidRPr="00D633B5" w14:paraId="5D4EBCF3"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7C2ACF84" w14:textId="77777777" w:rsidR="00D53331" w:rsidRPr="00D633B5" w:rsidRDefault="00D53331" w:rsidP="00A866BB">
            <w:pPr>
              <w:pStyle w:val="Table"/>
              <w:spacing w:line="276" w:lineRule="auto"/>
              <w:jc w:val="left"/>
              <w:rPr>
                <w:rFonts w:ascii="Candara" w:hAnsi="Candara"/>
              </w:rPr>
            </w:pPr>
            <w:r w:rsidRPr="00D633B5">
              <w:rPr>
                <w:rFonts w:ascii="Candara" w:hAnsi="Candara"/>
              </w:rPr>
              <w:t>APA</w:t>
            </w:r>
          </w:p>
        </w:tc>
        <w:tc>
          <w:tcPr>
            <w:tcW w:w="3429" w:type="pct"/>
            <w:tcBorders>
              <w:top w:val="single" w:sz="8" w:space="0" w:color="9DBCB0"/>
              <w:left w:val="single" w:sz="8" w:space="0" w:color="9DBCB0"/>
              <w:bottom w:val="single" w:sz="8" w:space="0" w:color="9DBCB0"/>
              <w:right w:val="single" w:sz="8" w:space="0" w:color="9DBCB0"/>
            </w:tcBorders>
            <w:hideMark/>
          </w:tcPr>
          <w:p w14:paraId="1167FC82" w14:textId="1EB7005B" w:rsidR="00D53331" w:rsidRPr="00D633B5" w:rsidRDefault="00D53331" w:rsidP="00A866BB">
            <w:pPr>
              <w:pStyle w:val="Table"/>
              <w:spacing w:line="276" w:lineRule="auto"/>
              <w:jc w:val="left"/>
              <w:rPr>
                <w:rFonts w:ascii="Candara" w:hAnsi="Candara"/>
              </w:rPr>
            </w:pPr>
            <w:r w:rsidRPr="00D633B5">
              <w:rPr>
                <w:rFonts w:ascii="Candara" w:hAnsi="Candara"/>
              </w:rPr>
              <w:t xml:space="preserve">Annual </w:t>
            </w:r>
            <w:r w:rsidR="00D633B5">
              <w:rPr>
                <w:rFonts w:ascii="Candara" w:hAnsi="Candara"/>
              </w:rPr>
              <w:t>P</w:t>
            </w:r>
            <w:r w:rsidRPr="00D633B5">
              <w:rPr>
                <w:rFonts w:ascii="Candara" w:hAnsi="Candara"/>
              </w:rPr>
              <w:t xml:space="preserve">erformance </w:t>
            </w:r>
            <w:r w:rsidR="00D633B5">
              <w:rPr>
                <w:rFonts w:ascii="Candara" w:hAnsi="Candara"/>
              </w:rPr>
              <w:t>A</w:t>
            </w:r>
            <w:r w:rsidRPr="00D633B5">
              <w:rPr>
                <w:rFonts w:ascii="Candara" w:hAnsi="Candara"/>
              </w:rPr>
              <w:t>ssessment – formalised review of a States performance in key result areas against DLIs and DLRs.</w:t>
            </w:r>
          </w:p>
        </w:tc>
      </w:tr>
      <w:tr w:rsidR="00D53331" w:rsidRPr="00D633B5" w14:paraId="5FE0E732"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tcPr>
          <w:p w14:paraId="30B3992F" w14:textId="77777777" w:rsidR="00D53331" w:rsidRPr="00D633B5" w:rsidRDefault="00D53331" w:rsidP="00A866BB">
            <w:pPr>
              <w:pStyle w:val="Table"/>
              <w:spacing w:line="276" w:lineRule="auto"/>
              <w:jc w:val="left"/>
              <w:rPr>
                <w:rFonts w:ascii="Candara" w:hAnsi="Candara"/>
              </w:rPr>
            </w:pPr>
            <w:r w:rsidRPr="00D633B5">
              <w:rPr>
                <w:rFonts w:ascii="Candara" w:hAnsi="Candara"/>
              </w:rPr>
              <w:t xml:space="preserve">BPR </w:t>
            </w:r>
          </w:p>
        </w:tc>
        <w:tc>
          <w:tcPr>
            <w:tcW w:w="3429" w:type="pct"/>
            <w:tcBorders>
              <w:top w:val="single" w:sz="8" w:space="0" w:color="9DBCB0"/>
              <w:left w:val="single" w:sz="8" w:space="0" w:color="9DBCB0"/>
              <w:bottom w:val="single" w:sz="8" w:space="0" w:color="9DBCB0"/>
              <w:right w:val="single" w:sz="8" w:space="0" w:color="9DBCB0"/>
            </w:tcBorders>
          </w:tcPr>
          <w:p w14:paraId="750870EB" w14:textId="77777777" w:rsidR="00D53331" w:rsidRPr="00D633B5" w:rsidRDefault="00D53331" w:rsidP="00A866BB">
            <w:pPr>
              <w:pStyle w:val="Table"/>
              <w:spacing w:line="276" w:lineRule="auto"/>
              <w:jc w:val="left"/>
              <w:rPr>
                <w:rFonts w:ascii="Candara" w:hAnsi="Candara"/>
              </w:rPr>
            </w:pPr>
            <w:r w:rsidRPr="00D633B5">
              <w:rPr>
                <w:rFonts w:ascii="Candara" w:hAnsi="Candara"/>
              </w:rPr>
              <w:t>Budget Performance Report – showing actual revenue and expenditure relative to budget</w:t>
            </w:r>
          </w:p>
        </w:tc>
      </w:tr>
      <w:tr w:rsidR="00D53331" w:rsidRPr="00D633B5" w14:paraId="78B4DC3C"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521264DF" w14:textId="77777777" w:rsidR="00D53331" w:rsidRPr="00D633B5" w:rsidRDefault="00D53331" w:rsidP="00A866BB">
            <w:pPr>
              <w:pStyle w:val="Table"/>
              <w:spacing w:line="276" w:lineRule="auto"/>
              <w:jc w:val="left"/>
              <w:rPr>
                <w:rFonts w:ascii="Candara" w:hAnsi="Candara"/>
              </w:rPr>
            </w:pPr>
            <w:r w:rsidRPr="00D633B5">
              <w:rPr>
                <w:rFonts w:ascii="Candara" w:hAnsi="Candara"/>
              </w:rPr>
              <w:t>COA</w:t>
            </w:r>
          </w:p>
        </w:tc>
        <w:tc>
          <w:tcPr>
            <w:tcW w:w="3429" w:type="pct"/>
            <w:tcBorders>
              <w:top w:val="single" w:sz="8" w:space="0" w:color="9DBCB0"/>
              <w:left w:val="single" w:sz="8" w:space="0" w:color="9DBCB0"/>
              <w:bottom w:val="single" w:sz="8" w:space="0" w:color="9DBCB0"/>
              <w:right w:val="single" w:sz="8" w:space="0" w:color="9DBCB0"/>
            </w:tcBorders>
            <w:hideMark/>
          </w:tcPr>
          <w:p w14:paraId="26B49495" w14:textId="77777777" w:rsidR="00D53331" w:rsidRPr="00D633B5" w:rsidRDefault="00D53331" w:rsidP="00A866BB">
            <w:pPr>
              <w:pStyle w:val="Table"/>
              <w:spacing w:line="276" w:lineRule="auto"/>
              <w:jc w:val="left"/>
              <w:rPr>
                <w:rFonts w:ascii="Candara" w:hAnsi="Candara"/>
              </w:rPr>
            </w:pPr>
            <w:r w:rsidRPr="00D633B5">
              <w:rPr>
                <w:rFonts w:ascii="Candara" w:hAnsi="Candara"/>
              </w:rPr>
              <w:t>Chart of accounts – standardised financial coding list applied to all departments/ divisions of the organisation</w:t>
            </w:r>
          </w:p>
        </w:tc>
      </w:tr>
      <w:tr w:rsidR="00D53331" w:rsidRPr="00D633B5" w14:paraId="626E7CAC"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7234A928" w14:textId="77777777" w:rsidR="00D53331" w:rsidRPr="00D633B5" w:rsidRDefault="00D53331" w:rsidP="00A866BB">
            <w:pPr>
              <w:pStyle w:val="Table"/>
              <w:spacing w:line="276" w:lineRule="auto"/>
              <w:jc w:val="left"/>
              <w:rPr>
                <w:rFonts w:ascii="Candara" w:hAnsi="Candara"/>
              </w:rPr>
            </w:pPr>
            <w:r w:rsidRPr="00D633B5">
              <w:rPr>
                <w:rFonts w:ascii="Candara" w:hAnsi="Candara"/>
              </w:rPr>
              <w:t>DLI</w:t>
            </w:r>
          </w:p>
        </w:tc>
        <w:tc>
          <w:tcPr>
            <w:tcW w:w="3429" w:type="pct"/>
            <w:tcBorders>
              <w:top w:val="single" w:sz="8" w:space="0" w:color="9DBCB0"/>
              <w:left w:val="single" w:sz="8" w:space="0" w:color="9DBCB0"/>
              <w:bottom w:val="single" w:sz="8" w:space="0" w:color="9DBCB0"/>
              <w:right w:val="single" w:sz="8" w:space="0" w:color="9DBCB0"/>
            </w:tcBorders>
            <w:hideMark/>
          </w:tcPr>
          <w:p w14:paraId="694A4CBA" w14:textId="77777777" w:rsidR="00D53331" w:rsidRPr="00D633B5" w:rsidRDefault="00D53331" w:rsidP="00A866BB">
            <w:pPr>
              <w:pStyle w:val="Table"/>
              <w:spacing w:line="276" w:lineRule="auto"/>
              <w:jc w:val="left"/>
              <w:rPr>
                <w:rFonts w:ascii="Candara" w:hAnsi="Candara"/>
              </w:rPr>
            </w:pPr>
            <w:r w:rsidRPr="00D633B5">
              <w:rPr>
                <w:rFonts w:ascii="Candara" w:hAnsi="Candara"/>
              </w:rPr>
              <w:t>Disbursement-linked indicators – performance management indicators used in determining how funding is allocated to States</w:t>
            </w:r>
          </w:p>
        </w:tc>
      </w:tr>
      <w:tr w:rsidR="00D53331" w:rsidRPr="00D633B5" w14:paraId="06CE18E8"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43B1AB0D" w14:textId="77777777" w:rsidR="00D53331" w:rsidRPr="00D633B5" w:rsidRDefault="00D53331" w:rsidP="00A866BB">
            <w:pPr>
              <w:pStyle w:val="Table"/>
              <w:spacing w:line="276" w:lineRule="auto"/>
              <w:jc w:val="left"/>
              <w:rPr>
                <w:rFonts w:ascii="Candara" w:hAnsi="Candara"/>
              </w:rPr>
            </w:pPr>
            <w:r w:rsidRPr="00D633B5">
              <w:rPr>
                <w:rFonts w:ascii="Candara" w:hAnsi="Candara"/>
              </w:rPr>
              <w:t>DLR</w:t>
            </w:r>
          </w:p>
        </w:tc>
        <w:tc>
          <w:tcPr>
            <w:tcW w:w="3429" w:type="pct"/>
            <w:tcBorders>
              <w:top w:val="single" w:sz="8" w:space="0" w:color="9DBCB0"/>
              <w:left w:val="single" w:sz="8" w:space="0" w:color="9DBCB0"/>
              <w:bottom w:val="single" w:sz="8" w:space="0" w:color="9DBCB0"/>
              <w:right w:val="single" w:sz="8" w:space="0" w:color="9DBCB0"/>
            </w:tcBorders>
            <w:hideMark/>
          </w:tcPr>
          <w:p w14:paraId="11FBE007" w14:textId="77777777" w:rsidR="00D53331" w:rsidRPr="00D633B5" w:rsidRDefault="00D53331" w:rsidP="00A866BB">
            <w:pPr>
              <w:pStyle w:val="Table"/>
              <w:spacing w:line="276" w:lineRule="auto"/>
              <w:jc w:val="left"/>
              <w:rPr>
                <w:rFonts w:ascii="Candara" w:hAnsi="Candara"/>
              </w:rPr>
            </w:pPr>
            <w:r w:rsidRPr="00D633B5">
              <w:rPr>
                <w:rFonts w:ascii="Candara" w:hAnsi="Candara"/>
              </w:rPr>
              <w:t>Disbursement-linked results – the specific results to be achieved in each programme under a DLI</w:t>
            </w:r>
          </w:p>
        </w:tc>
      </w:tr>
      <w:tr w:rsidR="00D53331" w:rsidRPr="00D633B5" w14:paraId="6805006F"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2B9E1DC7" w14:textId="77777777" w:rsidR="00D53331" w:rsidRPr="00D633B5" w:rsidRDefault="00D53331" w:rsidP="00A866BB">
            <w:pPr>
              <w:pStyle w:val="Table"/>
              <w:spacing w:line="276" w:lineRule="auto"/>
              <w:jc w:val="left"/>
              <w:rPr>
                <w:rFonts w:ascii="Candara" w:hAnsi="Candara"/>
              </w:rPr>
            </w:pPr>
            <w:r w:rsidRPr="00D633B5">
              <w:rPr>
                <w:rFonts w:ascii="Candara" w:hAnsi="Candara"/>
              </w:rPr>
              <w:t>Economic code</w:t>
            </w:r>
          </w:p>
        </w:tc>
        <w:tc>
          <w:tcPr>
            <w:tcW w:w="3429" w:type="pct"/>
            <w:tcBorders>
              <w:top w:val="single" w:sz="8" w:space="0" w:color="9DBCB0"/>
              <w:left w:val="single" w:sz="8" w:space="0" w:color="9DBCB0"/>
              <w:bottom w:val="single" w:sz="8" w:space="0" w:color="9DBCB0"/>
              <w:right w:val="single" w:sz="8" w:space="0" w:color="9DBCB0"/>
            </w:tcBorders>
            <w:hideMark/>
          </w:tcPr>
          <w:p w14:paraId="6BE9162F" w14:textId="77777777" w:rsidR="00D53331" w:rsidRPr="00D633B5" w:rsidRDefault="00D53331" w:rsidP="00A866BB">
            <w:pPr>
              <w:pStyle w:val="Table"/>
              <w:spacing w:line="276" w:lineRule="auto"/>
              <w:jc w:val="left"/>
              <w:rPr>
                <w:rFonts w:ascii="Candara" w:hAnsi="Candara"/>
              </w:rPr>
            </w:pPr>
            <w:r w:rsidRPr="00D633B5">
              <w:rPr>
                <w:rFonts w:ascii="Candara" w:hAnsi="Candara"/>
              </w:rPr>
              <w:t>Main segment of the NCOA used as the basis for processing transactions in the general ledger and for generating a trial balance</w:t>
            </w:r>
          </w:p>
        </w:tc>
      </w:tr>
      <w:tr w:rsidR="00D53331" w:rsidRPr="00D633B5" w14:paraId="5E9350EF"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7CB57D52" w14:textId="77777777" w:rsidR="00D53331" w:rsidRPr="00D633B5" w:rsidRDefault="00D53331" w:rsidP="00A866BB">
            <w:pPr>
              <w:pStyle w:val="Table"/>
              <w:spacing w:line="276" w:lineRule="auto"/>
              <w:jc w:val="left"/>
              <w:rPr>
                <w:rFonts w:ascii="Candara" w:hAnsi="Candara"/>
              </w:rPr>
            </w:pPr>
            <w:r w:rsidRPr="00D633B5">
              <w:rPr>
                <w:rFonts w:ascii="Candara" w:hAnsi="Candara"/>
              </w:rPr>
              <w:t>FAAC</w:t>
            </w:r>
          </w:p>
        </w:tc>
        <w:tc>
          <w:tcPr>
            <w:tcW w:w="3429" w:type="pct"/>
            <w:tcBorders>
              <w:top w:val="single" w:sz="8" w:space="0" w:color="9DBCB0"/>
              <w:left w:val="single" w:sz="8" w:space="0" w:color="9DBCB0"/>
              <w:bottom w:val="single" w:sz="8" w:space="0" w:color="9DBCB0"/>
              <w:right w:val="single" w:sz="8" w:space="0" w:color="9DBCB0"/>
            </w:tcBorders>
            <w:hideMark/>
          </w:tcPr>
          <w:p w14:paraId="5995B025" w14:textId="77777777" w:rsidR="00D53331" w:rsidRPr="00D633B5" w:rsidRDefault="00D53331" w:rsidP="00A866BB">
            <w:pPr>
              <w:pStyle w:val="Table"/>
              <w:spacing w:line="276" w:lineRule="auto"/>
              <w:jc w:val="left"/>
              <w:rPr>
                <w:rFonts w:ascii="Candara" w:hAnsi="Candara"/>
              </w:rPr>
            </w:pPr>
            <w:r w:rsidRPr="00D633B5">
              <w:rPr>
                <w:rFonts w:ascii="Candara" w:hAnsi="Candara"/>
              </w:rPr>
              <w:t>Federation Accounts Allocation Committee</w:t>
            </w:r>
          </w:p>
        </w:tc>
      </w:tr>
      <w:tr w:rsidR="00D53331" w:rsidRPr="00D633B5" w14:paraId="69355351"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2A7C1B14" w14:textId="77777777" w:rsidR="00D53331" w:rsidRPr="00D633B5" w:rsidRDefault="00D53331" w:rsidP="00A866BB">
            <w:pPr>
              <w:pStyle w:val="Table"/>
              <w:spacing w:line="276" w:lineRule="auto"/>
              <w:jc w:val="left"/>
              <w:rPr>
                <w:rFonts w:ascii="Candara" w:hAnsi="Candara"/>
              </w:rPr>
            </w:pPr>
            <w:r w:rsidRPr="00D633B5">
              <w:rPr>
                <w:rFonts w:ascii="Candara" w:hAnsi="Candara"/>
              </w:rPr>
              <w:t>NCOA</w:t>
            </w:r>
          </w:p>
        </w:tc>
        <w:tc>
          <w:tcPr>
            <w:tcW w:w="3429" w:type="pct"/>
            <w:tcBorders>
              <w:top w:val="single" w:sz="8" w:space="0" w:color="9DBCB0"/>
              <w:left w:val="single" w:sz="8" w:space="0" w:color="9DBCB0"/>
              <w:bottom w:val="single" w:sz="8" w:space="0" w:color="9DBCB0"/>
              <w:right w:val="single" w:sz="8" w:space="0" w:color="9DBCB0"/>
            </w:tcBorders>
            <w:hideMark/>
          </w:tcPr>
          <w:p w14:paraId="7627A016" w14:textId="77777777" w:rsidR="00D53331" w:rsidRPr="00D633B5" w:rsidRDefault="00D53331" w:rsidP="00A866BB">
            <w:pPr>
              <w:pStyle w:val="Table"/>
              <w:spacing w:line="276" w:lineRule="auto"/>
              <w:jc w:val="left"/>
              <w:rPr>
                <w:rFonts w:ascii="Candara" w:hAnsi="Candara"/>
              </w:rPr>
            </w:pPr>
            <w:r w:rsidRPr="00D633B5">
              <w:rPr>
                <w:rFonts w:ascii="Candara" w:hAnsi="Candara"/>
              </w:rPr>
              <w:t>National Chart of Accounts – standardised financial coding list issued by the Federation Accounts Allocation Committee (FAAC)</w:t>
            </w:r>
          </w:p>
        </w:tc>
      </w:tr>
      <w:tr w:rsidR="00D53331" w:rsidRPr="00D633B5" w14:paraId="116A48C2" w14:textId="77777777" w:rsidTr="00A866BB">
        <w:trPr>
          <w:cantSplit/>
        </w:trPr>
        <w:tc>
          <w:tcPr>
            <w:tcW w:w="1571" w:type="pct"/>
            <w:tcBorders>
              <w:top w:val="single" w:sz="8" w:space="0" w:color="9DBCB0"/>
              <w:left w:val="single" w:sz="8" w:space="0" w:color="9DBCB0"/>
              <w:bottom w:val="single" w:sz="8" w:space="0" w:color="9DBCB0"/>
              <w:right w:val="single" w:sz="8" w:space="0" w:color="9DBCB0"/>
            </w:tcBorders>
            <w:hideMark/>
          </w:tcPr>
          <w:p w14:paraId="3D6EC337" w14:textId="77777777" w:rsidR="00D53331" w:rsidRPr="00D633B5" w:rsidRDefault="00D53331" w:rsidP="00A866BB">
            <w:pPr>
              <w:pStyle w:val="Table"/>
              <w:spacing w:line="276" w:lineRule="auto"/>
              <w:jc w:val="left"/>
              <w:rPr>
                <w:rFonts w:ascii="Candara" w:hAnsi="Candara"/>
              </w:rPr>
            </w:pPr>
            <w:r w:rsidRPr="00D633B5">
              <w:rPr>
                <w:rFonts w:ascii="Candara" w:hAnsi="Candara"/>
              </w:rPr>
              <w:t>White Label</w:t>
            </w:r>
          </w:p>
        </w:tc>
        <w:tc>
          <w:tcPr>
            <w:tcW w:w="3429" w:type="pct"/>
            <w:tcBorders>
              <w:top w:val="single" w:sz="8" w:space="0" w:color="9DBCB0"/>
              <w:left w:val="single" w:sz="8" w:space="0" w:color="9DBCB0"/>
              <w:bottom w:val="single" w:sz="8" w:space="0" w:color="9DBCB0"/>
              <w:right w:val="single" w:sz="8" w:space="0" w:color="9DBCB0"/>
            </w:tcBorders>
            <w:hideMark/>
          </w:tcPr>
          <w:p w14:paraId="5D43E9B9" w14:textId="77777777" w:rsidR="00D53331" w:rsidRPr="00D633B5" w:rsidRDefault="00D53331" w:rsidP="00A866BB">
            <w:pPr>
              <w:pStyle w:val="Table"/>
              <w:spacing w:line="276" w:lineRule="auto"/>
              <w:jc w:val="left"/>
              <w:rPr>
                <w:rFonts w:ascii="Candara" w:hAnsi="Candara"/>
              </w:rPr>
            </w:pPr>
            <w:r w:rsidRPr="00D633B5">
              <w:rPr>
                <w:rFonts w:ascii="Candara" w:hAnsi="Candara"/>
              </w:rPr>
              <w:t>A document that is available for specified recipients to convert to their own format / branding (i.e. the label is blank) for further use</w:t>
            </w:r>
          </w:p>
        </w:tc>
      </w:tr>
    </w:tbl>
    <w:p w14:paraId="3575F931" w14:textId="77777777" w:rsidR="00D53331" w:rsidRPr="00D633B5" w:rsidRDefault="00D53331" w:rsidP="00D53331">
      <w:pPr>
        <w:spacing w:before="0" w:after="200" w:line="276" w:lineRule="auto"/>
        <w:jc w:val="left"/>
        <w:rPr>
          <w:rFonts w:ascii="Candara" w:hAnsi="Candara"/>
          <w:b/>
          <w:color w:val="32746D"/>
          <w:sz w:val="32"/>
          <w:szCs w:val="32"/>
        </w:rPr>
      </w:pPr>
    </w:p>
    <w:p w14:paraId="26857DB3" w14:textId="77777777" w:rsidR="0014125C" w:rsidRPr="00C97795" w:rsidRDefault="0014125C" w:rsidP="00E552D5">
      <w:pPr>
        <w:rPr>
          <w:rFonts w:ascii="Candara" w:hAnsi="Candara"/>
          <w:b/>
          <w:u w:val="single"/>
        </w:rPr>
      </w:pPr>
    </w:p>
    <w:sectPr w:rsidR="0014125C" w:rsidRPr="00C97795" w:rsidSect="00906425">
      <w:headerReference w:type="default" r:id="rId27"/>
      <w:footerReference w:type="default" r:id="rId28"/>
      <w:pgSz w:w="11906" w:h="16838" w:code="9"/>
      <w:pgMar w:top="1304" w:right="656"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7E50E" w14:textId="77777777" w:rsidR="00233C80" w:rsidRDefault="00233C80" w:rsidP="00895F56">
      <w:r>
        <w:separator/>
      </w:r>
    </w:p>
  </w:endnote>
  <w:endnote w:type="continuationSeparator" w:id="0">
    <w:p w14:paraId="53191A46" w14:textId="77777777" w:rsidR="00233C80" w:rsidRDefault="00233C80" w:rsidP="0089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Regular">
    <w:panose1 w:val="00000000000000000000"/>
    <w:charset w:val="00"/>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ndara" w:hAnsi="Candara"/>
      </w:rPr>
      <w:id w:val="-342634446"/>
      <w:docPartObj>
        <w:docPartGallery w:val="Page Numbers (Bottom of Page)"/>
        <w:docPartUnique/>
      </w:docPartObj>
    </w:sdtPr>
    <w:sdtEndPr>
      <w:rPr>
        <w:noProof/>
      </w:rPr>
    </w:sdtEndPr>
    <w:sdtContent>
      <w:p w14:paraId="642B7B2C" w14:textId="5D561DE3" w:rsidR="00943C12" w:rsidRPr="00F445B1" w:rsidRDefault="00943C12">
        <w:pPr>
          <w:pStyle w:val="Footer"/>
          <w:jc w:val="center"/>
          <w:rPr>
            <w:rFonts w:ascii="Candara" w:hAnsi="Candara"/>
          </w:rPr>
        </w:pPr>
        <w:r w:rsidRPr="00F445B1">
          <w:rPr>
            <w:rFonts w:ascii="Candara" w:hAnsi="Candara"/>
            <w:noProof/>
          </w:rPr>
          <w:t>2</w:t>
        </w:r>
      </w:p>
    </w:sdtContent>
  </w:sdt>
  <w:p w14:paraId="5FAB28FB" w14:textId="77777777" w:rsidR="00943C12" w:rsidRPr="00F445B1" w:rsidRDefault="00943C12">
    <w:pPr>
      <w:pStyle w:val="Footer"/>
      <w:rPr>
        <w:rFonts w:ascii="Candara" w:hAnsi="Candar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9B26E" w14:textId="77777777" w:rsidR="00233C80" w:rsidRDefault="00233C80" w:rsidP="00895F56">
      <w:r>
        <w:separator/>
      </w:r>
    </w:p>
  </w:footnote>
  <w:footnote w:type="continuationSeparator" w:id="0">
    <w:p w14:paraId="67CDC160" w14:textId="77777777" w:rsidR="00233C80" w:rsidRDefault="00233C80" w:rsidP="00895F56">
      <w:r>
        <w:continuationSeparator/>
      </w:r>
    </w:p>
  </w:footnote>
  <w:footnote w:id="1">
    <w:p w14:paraId="3936C438" w14:textId="6D956C30" w:rsidR="004B24FC" w:rsidRPr="00D633B5" w:rsidRDefault="004B24FC" w:rsidP="004B24FC">
      <w:pPr>
        <w:pStyle w:val="FootnoteText"/>
        <w:rPr>
          <w:rFonts w:ascii="Candara" w:hAnsi="Candara"/>
        </w:rPr>
      </w:pPr>
      <w:r w:rsidRPr="00D633B5">
        <w:rPr>
          <w:rStyle w:val="FootnoteReference"/>
          <w:rFonts w:ascii="Candara" w:hAnsi="Candara"/>
        </w:rPr>
        <w:footnoteRef/>
      </w:r>
      <w:r w:rsidRPr="00D633B5">
        <w:rPr>
          <w:rFonts w:ascii="Candara" w:hAnsi="Candara"/>
        </w:rPr>
        <w:t xml:space="preserve"> This toolkit adopts a quarterly reporting schedule. Once this is in place and operating efficiently and effectively, </w:t>
      </w:r>
      <w:r w:rsidR="00021F13">
        <w:rPr>
          <w:rFonts w:ascii="Candara" w:hAnsi="Candara"/>
        </w:rPr>
        <w:t>S</w:t>
      </w:r>
      <w:r w:rsidRPr="00D633B5">
        <w:rPr>
          <w:rFonts w:ascii="Candara" w:hAnsi="Candara"/>
        </w:rPr>
        <w:t>tates should consider moving to monthly reports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88B53" w14:textId="50B952CA" w:rsidR="00BD7C80" w:rsidRDefault="00BD7C80" w:rsidP="0068061C">
    <w:pPr>
      <w:pStyle w:val="Header"/>
    </w:pPr>
    <w:r>
      <w:rPr>
        <w:noProof/>
      </w:rPr>
      <mc:AlternateContent>
        <mc:Choice Requires="wps">
          <w:drawing>
            <wp:anchor distT="0" distB="0" distL="114300" distR="114300" simplePos="0" relativeHeight="251674624" behindDoc="0" locked="0" layoutInCell="0" allowOverlap="1" wp14:anchorId="70A9F821" wp14:editId="43A107A5">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65F259FC" w:rsidR="00BD7C80" w:rsidRPr="00082991" w:rsidRDefault="00A851F4">
                              <w:pPr>
                                <w:spacing w:after="0"/>
                                <w:rPr>
                                  <w:color w:val="32746D"/>
                                  <w:sz w:val="20"/>
                                </w:rPr>
                              </w:pPr>
                              <w:r>
                                <w:rPr>
                                  <w:color w:val="32746D"/>
                                  <w:sz w:val="20"/>
                                </w:rPr>
                                <w:t>STATE</w:t>
                              </w:r>
                              <w:r w:rsidR="008C691C">
                                <w:rPr>
                                  <w:color w:val="32746D"/>
                                  <w:sz w:val="20"/>
                                </w:rPr>
                                <w:t>S</w:t>
                              </w:r>
                              <w:r>
                                <w:rPr>
                                  <w:color w:val="32746D"/>
                                  <w:sz w:val="20"/>
                                </w:rPr>
                                <w:t xml:space="preserve"> FISCAL TRANSPARENCY, ACCOUNTABILITY AND SUSTAINABILITY (SFTAS) OVERVIEW OF TOOLKIT ON </w:t>
                              </w:r>
                              <w:r w:rsidR="00A41641">
                                <w:rPr>
                                  <w:color w:val="32746D"/>
                                  <w:sz w:val="20"/>
                                </w:rPr>
                                <w:t>BUDGET PERFORMANCE REPORTING</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0A9F821" id="_x0000_t202" coordsize="21600,21600" o:spt="202" path="m,l,21600r21600,l21600,xe">
              <v:stroke joinstyle="miter"/>
              <v:path gradientshapeok="t" o:connecttype="rect"/>
            </v:shapetype>
            <v:shape id="Text Box 218" o:spid="_x0000_s1026" type="#_x0000_t202" style="position:absolute;left:0;text-align:left;margin-left:0;margin-top:0;width:468pt;height:13.45pt;z-index:25167462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" o:allowincell="f" filled="f" stroked="f">
              <v:textbox style="mso-fit-shape-to-text:t" inset=",0,,0">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65F259FC" w:rsidR="00BD7C80" w:rsidRPr="00082991" w:rsidRDefault="00A851F4">
                        <w:pPr>
                          <w:spacing w:after="0"/>
                          <w:rPr>
                            <w:color w:val="32746D"/>
                            <w:sz w:val="20"/>
                          </w:rPr>
                        </w:pPr>
                        <w:r>
                          <w:rPr>
                            <w:color w:val="32746D"/>
                            <w:sz w:val="20"/>
                          </w:rPr>
                          <w:t>STATE</w:t>
                        </w:r>
                        <w:r w:rsidR="008C691C">
                          <w:rPr>
                            <w:color w:val="32746D"/>
                            <w:sz w:val="20"/>
                          </w:rPr>
                          <w:t>S</w:t>
                        </w:r>
                        <w:r>
                          <w:rPr>
                            <w:color w:val="32746D"/>
                            <w:sz w:val="20"/>
                          </w:rPr>
                          <w:t xml:space="preserve"> FISCAL TRANSPARENCY, ACCOUNTABILITY AND SUSTAINABILITY (SFTAS) OVERVIEW OF TOOLKIT ON </w:t>
                        </w:r>
                        <w:r w:rsidR="00A41641">
                          <w:rPr>
                            <w:color w:val="32746D"/>
                            <w:sz w:val="20"/>
                          </w:rPr>
                          <w:t>BUDGET PERFORMANCE REPORTING</w:t>
                        </w:r>
                      </w:p>
                    </w:sdtContent>
                  </w:sdt>
                </w:txbxContent>
              </v:textbox>
              <w10:wrap anchorx="margin" anchory="margin"/>
            </v:shape>
          </w:pict>
        </mc:Fallback>
      </mc:AlternateContent>
    </w:r>
    <w:r>
      <w:rPr>
        <w:noProof/>
      </w:rPr>
      <mc:AlternateContent>
        <mc:Choice Requires="wps">
          <w:drawing>
            <wp:anchor distT="0" distB="0" distL="114300" distR="114300" simplePos="0" relativeHeight="251673600" behindDoc="0" locked="0" layoutInCell="0" allowOverlap="1" wp14:anchorId="13AF0FF3" wp14:editId="7C9BAF74">
              <wp:simplePos x="0" y="0"/>
              <wp:positionH relativeFrom="page">
                <wp:align>left</wp:align>
              </wp:positionH>
              <wp:positionV relativeFrom="topMargin">
                <wp:align>center</wp:align>
              </wp:positionV>
              <wp:extent cx="914400" cy="170815"/>
              <wp:effectExtent l="0" t="0" r="381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32746D"/>
                      </a:solidFill>
                      <a:ln>
                        <a:noFill/>
                      </a:ln>
                    </wps:spPr>
                    <wps:txbx>
                      <w:txbxContent>
                        <w:p w14:paraId="27826715" w14:textId="7BA6E11C" w:rsidR="00BD7C80" w:rsidRDefault="00BD7C80">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3AF0FF3" id="Text Box 219" o:spid="_x0000_s1027" type="#_x0000_t202" style="position:absolute;left:0;text-align:left;margin-left:0;margin-top:0;width:1in;height:13.45pt;z-index:251673600;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" o:allowincell="f" fillcolor="#32746d" stroked="f">
              <v:textbox style="mso-fit-shape-to-text:t" inset=",0,,0">
                <w:txbxContent>
                  <w:p w14:paraId="27826715" w14:textId="7BA6E11C" w:rsidR="00BD7C80" w:rsidRDefault="00BD7C80">
                    <w:pPr>
                      <w:spacing w:after="0"/>
                      <w:jc w:val="right"/>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D3DFB"/>
    <w:multiLevelType w:val="multilevel"/>
    <w:tmpl w:val="F5FAF7BE"/>
    <w:lvl w:ilvl="0">
      <w:start w:val="1"/>
      <w:numFmt w:val="decimal"/>
      <w:pStyle w:val="NumberedParagraph"/>
      <w:lvlText w:val="%1."/>
      <w:lvlJc w:val="left"/>
      <w:pPr>
        <w:ind w:left="567" w:hanging="567"/>
      </w:pPr>
      <w:rPr>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134" w:hanging="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B11EE2"/>
    <w:multiLevelType w:val="multilevel"/>
    <w:tmpl w:val="AA8E927E"/>
    <w:lvl w:ilvl="0">
      <w:start w:val="8"/>
      <w:numFmt w:val="decimal"/>
      <w:lvlText w:val="%1."/>
      <w:lvlJc w:val="left"/>
      <w:pPr>
        <w:ind w:left="567" w:hanging="567"/>
      </w:pPr>
      <w:rPr>
        <w:rFonts w:hint="default"/>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134" w:hanging="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E10A0F"/>
    <w:multiLevelType w:val="multilevel"/>
    <w:tmpl w:val="6988135C"/>
    <w:styleLink w:val="IndentedNumberWorldBank"/>
    <w:lvl w:ilvl="0">
      <w:start w:val="1"/>
      <w:numFmt w:val="lowerRoman"/>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77A122B"/>
    <w:multiLevelType w:val="multilevel"/>
    <w:tmpl w:val="C0121D20"/>
    <w:styleLink w:val="USPList"/>
    <w:lvl w:ilvl="0">
      <w:start w:val="1"/>
      <w:numFmt w:val="decimal"/>
      <w:pStyle w:val="USP"/>
      <w:lvlText w:val="USP %1"/>
      <w:lvlJc w:val="left"/>
      <w:pPr>
        <w:ind w:left="1701" w:hanging="1134"/>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936E26"/>
    <w:multiLevelType w:val="multilevel"/>
    <w:tmpl w:val="E56881BC"/>
    <w:lvl w:ilvl="0">
      <w:start w:val="1"/>
      <w:numFmt w:val="lowerRoman"/>
      <w:pStyle w:val="ListNumber"/>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6210DC"/>
    <w:multiLevelType w:val="hybridMultilevel"/>
    <w:tmpl w:val="D2FA52EE"/>
    <w:lvl w:ilvl="0" w:tplc="08090001">
      <w:start w:val="1"/>
      <w:numFmt w:val="bullet"/>
      <w:lvlText w:val=""/>
      <w:lvlJc w:val="left"/>
      <w:pPr>
        <w:ind w:left="739" w:hanging="360"/>
      </w:pPr>
      <w:rPr>
        <w:rFonts w:ascii="Symbol" w:hAnsi="Symbol" w:hint="default"/>
      </w:rPr>
    </w:lvl>
    <w:lvl w:ilvl="1" w:tplc="08090003" w:tentative="1">
      <w:start w:val="1"/>
      <w:numFmt w:val="bullet"/>
      <w:lvlText w:val="o"/>
      <w:lvlJc w:val="left"/>
      <w:pPr>
        <w:ind w:left="1459" w:hanging="360"/>
      </w:pPr>
      <w:rPr>
        <w:rFonts w:ascii="Courier New" w:hAnsi="Courier New" w:cs="Courier New" w:hint="default"/>
      </w:rPr>
    </w:lvl>
    <w:lvl w:ilvl="2" w:tplc="08090005" w:tentative="1">
      <w:start w:val="1"/>
      <w:numFmt w:val="bullet"/>
      <w:lvlText w:val=""/>
      <w:lvlJc w:val="left"/>
      <w:pPr>
        <w:ind w:left="2179" w:hanging="360"/>
      </w:pPr>
      <w:rPr>
        <w:rFonts w:ascii="Wingdings" w:hAnsi="Wingdings" w:hint="default"/>
      </w:rPr>
    </w:lvl>
    <w:lvl w:ilvl="3" w:tplc="08090001" w:tentative="1">
      <w:start w:val="1"/>
      <w:numFmt w:val="bullet"/>
      <w:lvlText w:val=""/>
      <w:lvlJc w:val="left"/>
      <w:pPr>
        <w:ind w:left="2899" w:hanging="360"/>
      </w:pPr>
      <w:rPr>
        <w:rFonts w:ascii="Symbol" w:hAnsi="Symbol" w:hint="default"/>
      </w:rPr>
    </w:lvl>
    <w:lvl w:ilvl="4" w:tplc="08090003" w:tentative="1">
      <w:start w:val="1"/>
      <w:numFmt w:val="bullet"/>
      <w:lvlText w:val="o"/>
      <w:lvlJc w:val="left"/>
      <w:pPr>
        <w:ind w:left="3619" w:hanging="360"/>
      </w:pPr>
      <w:rPr>
        <w:rFonts w:ascii="Courier New" w:hAnsi="Courier New" w:cs="Courier New" w:hint="default"/>
      </w:rPr>
    </w:lvl>
    <w:lvl w:ilvl="5" w:tplc="08090005" w:tentative="1">
      <w:start w:val="1"/>
      <w:numFmt w:val="bullet"/>
      <w:lvlText w:val=""/>
      <w:lvlJc w:val="left"/>
      <w:pPr>
        <w:ind w:left="4339" w:hanging="360"/>
      </w:pPr>
      <w:rPr>
        <w:rFonts w:ascii="Wingdings" w:hAnsi="Wingdings" w:hint="default"/>
      </w:rPr>
    </w:lvl>
    <w:lvl w:ilvl="6" w:tplc="08090001" w:tentative="1">
      <w:start w:val="1"/>
      <w:numFmt w:val="bullet"/>
      <w:lvlText w:val=""/>
      <w:lvlJc w:val="left"/>
      <w:pPr>
        <w:ind w:left="5059" w:hanging="360"/>
      </w:pPr>
      <w:rPr>
        <w:rFonts w:ascii="Symbol" w:hAnsi="Symbol" w:hint="default"/>
      </w:rPr>
    </w:lvl>
    <w:lvl w:ilvl="7" w:tplc="08090003" w:tentative="1">
      <w:start w:val="1"/>
      <w:numFmt w:val="bullet"/>
      <w:lvlText w:val="o"/>
      <w:lvlJc w:val="left"/>
      <w:pPr>
        <w:ind w:left="5779" w:hanging="360"/>
      </w:pPr>
      <w:rPr>
        <w:rFonts w:ascii="Courier New" w:hAnsi="Courier New" w:cs="Courier New" w:hint="default"/>
      </w:rPr>
    </w:lvl>
    <w:lvl w:ilvl="8" w:tplc="08090005" w:tentative="1">
      <w:start w:val="1"/>
      <w:numFmt w:val="bullet"/>
      <w:lvlText w:val=""/>
      <w:lvlJc w:val="left"/>
      <w:pPr>
        <w:ind w:left="6499" w:hanging="360"/>
      </w:pPr>
      <w:rPr>
        <w:rFonts w:ascii="Wingdings" w:hAnsi="Wingdings" w:hint="default"/>
      </w:rPr>
    </w:lvl>
  </w:abstractNum>
  <w:abstractNum w:abstractNumId="6" w15:restartNumberingAfterBreak="0">
    <w:nsid w:val="20B0470B"/>
    <w:multiLevelType w:val="multilevel"/>
    <w:tmpl w:val="AFC6B012"/>
    <w:styleLink w:val="KeyIssues"/>
    <w:lvl w:ilvl="0">
      <w:start w:val="1"/>
      <w:numFmt w:val="decimal"/>
      <w:lvlText w:val="Key Issue %1"/>
      <w:lvlJc w:val="left"/>
      <w:pPr>
        <w:tabs>
          <w:tab w:val="num" w:pos="567"/>
        </w:tabs>
        <w:ind w:left="2835" w:hanging="2268"/>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4AC0B8C"/>
    <w:multiLevelType w:val="hybridMultilevel"/>
    <w:tmpl w:val="7EC029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2E2176"/>
    <w:multiLevelType w:val="multilevel"/>
    <w:tmpl w:val="7DBACD58"/>
    <w:lvl w:ilvl="0">
      <w:start w:val="1"/>
      <w:numFmt w:val="decimal"/>
      <w:lvlText w:val="%1"/>
      <w:lvlJc w:val="left"/>
      <w:pPr>
        <w:ind w:left="1283"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20245E7"/>
    <w:multiLevelType w:val="hybridMultilevel"/>
    <w:tmpl w:val="205CD9EA"/>
    <w:lvl w:ilvl="0" w:tplc="61DE0A92">
      <w:start w:val="1"/>
      <w:numFmt w:val="bullet"/>
      <w:pStyle w:val="ListBullet"/>
      <w:lvlText w:val=""/>
      <w:lvlJc w:val="left"/>
      <w:pPr>
        <w:ind w:left="1146" w:hanging="360"/>
      </w:pPr>
      <w:rPr>
        <w:rFonts w:ascii="Wingdings" w:hAnsi="Wingdings" w:hint="default"/>
        <w:color w:val="32746D"/>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7604B0"/>
    <w:multiLevelType w:val="multilevel"/>
    <w:tmpl w:val="611AAAD8"/>
    <w:styleLink w:val="Recommnendation"/>
    <w:lvl w:ilvl="0">
      <w:start w:val="1"/>
      <w:numFmt w:val="decimal"/>
      <w:pStyle w:val="Recommendation"/>
      <w:lvlText w:val="Recommendation %1"/>
      <w:lvlJc w:val="left"/>
      <w:pPr>
        <w:ind w:left="2268" w:hanging="1701"/>
      </w:pPr>
      <w:rPr>
        <w:rFonts w:ascii="Tahoma" w:hAnsi="Tahoma" w:hint="default"/>
        <w:b/>
        <w:i/>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6E51F2"/>
    <w:multiLevelType w:val="multilevel"/>
    <w:tmpl w:val="662042A0"/>
    <w:lvl w:ilvl="0">
      <w:start w:val="1"/>
      <w:numFmt w:val="decimal"/>
      <w:lvlText w:val="%1."/>
      <w:lvlJc w:val="left"/>
      <w:pPr>
        <w:ind w:left="567" w:hanging="567"/>
      </w:pPr>
      <w:rPr>
        <w:rFonts w:hint="default"/>
        <w:b w:val="0"/>
        <w:i w:val="0"/>
        <w:caps w:val="0"/>
        <w:strike w:val="0"/>
        <w:vanish w:val="0"/>
        <w:color w:val="000000"/>
        <w:u w:val="none"/>
      </w:rPr>
    </w:lvl>
    <w:lvl w:ilvl="1">
      <w:start w:val="1"/>
      <w:numFmt w:val="bullet"/>
      <w:lvlText w:val=""/>
      <w:lvlJc w:val="left"/>
      <w:pPr>
        <w:ind w:left="1134" w:hanging="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24F1A46"/>
    <w:multiLevelType w:val="hybridMultilevel"/>
    <w:tmpl w:val="B02E4600"/>
    <w:lvl w:ilvl="0" w:tplc="FB76613A">
      <w:start w:val="1"/>
      <w:numFmt w:val="decimal"/>
      <w:pStyle w:val="BestPracticeBullets"/>
      <w:lvlText w:val="%1)"/>
      <w:lvlJc w:val="left"/>
      <w:pPr>
        <w:ind w:left="360" w:hanging="360"/>
      </w:pPr>
      <w:rPr>
        <w:rFonts w:ascii="Calibri" w:hAnsi="Calibr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44B35070"/>
    <w:multiLevelType w:val="singleLevel"/>
    <w:tmpl w:val="5FBE6CDA"/>
    <w:lvl w:ilvl="0">
      <w:start w:val="1"/>
      <w:numFmt w:val="bullet"/>
      <w:pStyle w:val="ListBullet3"/>
      <w:lvlText w:val=""/>
      <w:lvlJc w:val="left"/>
      <w:pPr>
        <w:ind w:left="927" w:hanging="360"/>
      </w:pPr>
      <w:rPr>
        <w:rFonts w:ascii="Wingdings" w:hAnsi="Wingdings" w:hint="default"/>
        <w:color w:val="32746D"/>
        <w:sz w:val="24"/>
      </w:rPr>
    </w:lvl>
  </w:abstractNum>
  <w:abstractNum w:abstractNumId="14" w15:restartNumberingAfterBreak="0">
    <w:nsid w:val="4B280A8D"/>
    <w:multiLevelType w:val="hybridMultilevel"/>
    <w:tmpl w:val="FF96A630"/>
    <w:lvl w:ilvl="0" w:tplc="8CD8D4FA">
      <w:start w:val="1"/>
      <w:numFmt w:val="upperRoman"/>
      <w:pStyle w:val="Subtitle"/>
      <w:lvlText w:val="%1."/>
      <w:lvlJc w:val="left"/>
      <w:pPr>
        <w:tabs>
          <w:tab w:val="num" w:pos="720"/>
        </w:tabs>
      </w:pPr>
      <w:rPr>
        <w:rFonts w:ascii="Arial" w:hAnsi="Arial" w:cs="Times New Roman" w:hint="default"/>
        <w:b/>
        <w:i w:val="0"/>
        <w:caps/>
        <w:sz w:val="22"/>
        <w:szCs w:val="22"/>
      </w:rPr>
    </w:lvl>
    <w:lvl w:ilvl="1" w:tplc="08090003">
      <w:start w:val="1"/>
      <w:numFmt w:val="lowerRoman"/>
      <w:lvlText w:val="(%2)"/>
      <w:lvlJc w:val="left"/>
      <w:pPr>
        <w:tabs>
          <w:tab w:val="num" w:pos="1440"/>
        </w:tabs>
        <w:ind w:left="720"/>
      </w:pPr>
      <w:rPr>
        <w:rFonts w:ascii="Arial" w:hAnsi="Arial" w:cs="Times New Roman" w:hint="default"/>
        <w:b w:val="0"/>
        <w:i w:val="0"/>
        <w:caps w:val="0"/>
        <w:sz w:val="22"/>
        <w:szCs w:val="22"/>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4CCF6C4E"/>
    <w:multiLevelType w:val="multilevel"/>
    <w:tmpl w:val="B5F0253E"/>
    <w:lvl w:ilvl="0">
      <w:start w:val="1"/>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1.%2"/>
      <w:lvlJc w:val="left"/>
      <w:pPr>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nnex"/>
      <w:isLgl/>
      <w:lvlText w:val="Annex %4"/>
      <w:lvlJc w:val="left"/>
      <w:pPr>
        <w:ind w:left="1701" w:hanging="170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6" w15:restartNumberingAfterBreak="0">
    <w:nsid w:val="5102082A"/>
    <w:multiLevelType w:val="hybridMultilevel"/>
    <w:tmpl w:val="F62C828A"/>
    <w:lvl w:ilvl="0" w:tplc="5F06C8D0">
      <w:start w:val="1"/>
      <w:numFmt w:val="lowerLetter"/>
      <w:pStyle w:val="Doubleindentedlist"/>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597A605F"/>
    <w:multiLevelType w:val="multilevel"/>
    <w:tmpl w:val="98E89A5C"/>
    <w:lvl w:ilvl="0">
      <w:start w:val="1"/>
      <w:numFmt w:val="decimal"/>
      <w:pStyle w:val="KeyIssue"/>
      <w:lvlText w:val="Key Issue %1"/>
      <w:lvlJc w:val="left"/>
      <w:pPr>
        <w:ind w:left="2268" w:hanging="1701"/>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F91B91"/>
    <w:multiLevelType w:val="hybridMultilevel"/>
    <w:tmpl w:val="7EC0294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44165FF"/>
    <w:multiLevelType w:val="hybridMultilevel"/>
    <w:tmpl w:val="AF4A3174"/>
    <w:lvl w:ilvl="0" w:tplc="81AC265A">
      <w:start w:val="1"/>
      <w:numFmt w:val="decimal"/>
      <w:pStyle w:val="Minh"/>
      <w:lvlText w:val="%1."/>
      <w:lvlJc w:val="left"/>
      <w:pPr>
        <w:ind w:left="360" w:hanging="360"/>
      </w:pPr>
      <w:rPr>
        <w:rFonts w:ascii="Times New Roman" w:hAnsi="Times New Roman" w:cs="Times New Roman" w:hint="default"/>
        <w:b w:val="0"/>
        <w:i w:val="0"/>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50E1B26"/>
    <w:multiLevelType w:val="hybridMultilevel"/>
    <w:tmpl w:val="286C2240"/>
    <w:lvl w:ilvl="0" w:tplc="5C50C5EA">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21505A"/>
    <w:multiLevelType w:val="hybridMultilevel"/>
    <w:tmpl w:val="2660B9DA"/>
    <w:lvl w:ilvl="0" w:tplc="98DCA4BA">
      <w:start w:val="1"/>
      <w:numFmt w:val="bullet"/>
      <w:pStyle w:val="ListBullet2"/>
      <w:lvlText w:val="o"/>
      <w:lvlJc w:val="left"/>
      <w:pPr>
        <w:ind w:left="1854" w:hanging="360"/>
      </w:pPr>
      <w:rPr>
        <w:rFonts w:ascii="Courier New" w:hAnsi="Courier New" w:cs="Courier New" w:hint="default"/>
        <w:color w:val="76C474"/>
        <w:sz w:val="24"/>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70A00913"/>
    <w:multiLevelType w:val="multilevel"/>
    <w:tmpl w:val="CCE050BE"/>
    <w:styleLink w:val="ListBulletsWorldBankADB"/>
    <w:lvl w:ilvl="0">
      <w:start w:val="1"/>
      <w:numFmt w:val="bullet"/>
      <w:lvlRestart w:val="0"/>
      <w:lvlText w:val=""/>
      <w:lvlJc w:val="left"/>
      <w:pPr>
        <w:ind w:left="1134" w:hanging="567"/>
      </w:pPr>
      <w:rPr>
        <w:rFonts w:ascii="Wingdings" w:hAnsi="Wingdings" w:hint="default"/>
        <w:color w:val="9DBCB0"/>
        <w:sz w:val="24"/>
      </w:rPr>
    </w:lvl>
    <w:lvl w:ilvl="1">
      <w:start w:val="1"/>
      <w:numFmt w:val="bullet"/>
      <w:lvlText w:val=""/>
      <w:lvlJc w:val="left"/>
      <w:pPr>
        <w:tabs>
          <w:tab w:val="num" w:pos="1134"/>
        </w:tabs>
        <w:ind w:left="1559" w:hanging="425"/>
      </w:pPr>
      <w:rPr>
        <w:rFonts w:ascii="Wingdings" w:hAnsi="Wingdings" w:cs="Times New Roman" w:hint="default"/>
        <w:b w:val="0"/>
        <w:bCs w:val="0"/>
        <w:i w:val="0"/>
        <w:iCs w:val="0"/>
        <w:caps w:val="0"/>
        <w:smallCaps w:val="0"/>
        <w:strike w:val="0"/>
        <w:dstrike w:val="0"/>
        <w:noProof w:val="0"/>
        <w:snapToGrid w:val="0"/>
        <w:vanish w:val="0"/>
        <w:color w:val="00B0F0"/>
        <w:spacing w:val="0"/>
        <w:w w:val="0"/>
        <w:kern w:val="0"/>
        <w:position w:val="0"/>
        <w:sz w:val="24"/>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985"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23" w15:restartNumberingAfterBreak="0">
    <w:nsid w:val="716C1231"/>
    <w:multiLevelType w:val="hybridMultilevel"/>
    <w:tmpl w:val="7EC029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45C2C87"/>
    <w:multiLevelType w:val="hybridMultilevel"/>
    <w:tmpl w:val="7EC029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E412A2"/>
    <w:multiLevelType w:val="hybridMultilevel"/>
    <w:tmpl w:val="E92CC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5"/>
  </w:num>
  <w:num w:numId="4">
    <w:abstractNumId w:val="2"/>
  </w:num>
  <w:num w:numId="5">
    <w:abstractNumId w:val="6"/>
  </w:num>
  <w:num w:numId="6">
    <w:abstractNumId w:val="10"/>
  </w:num>
  <w:num w:numId="7">
    <w:abstractNumId w:val="3"/>
  </w:num>
  <w:num w:numId="8">
    <w:abstractNumId w:val="4"/>
  </w:num>
  <w:num w:numId="9">
    <w:abstractNumId w:val="13"/>
  </w:num>
  <w:num w:numId="10">
    <w:abstractNumId w:val="1"/>
  </w:num>
  <w:num w:numId="11">
    <w:abstractNumId w:val="10"/>
  </w:num>
  <w:num w:numId="12">
    <w:abstractNumId w:val="3"/>
  </w:num>
  <w:num w:numId="13">
    <w:abstractNumId w:val="17"/>
  </w:num>
  <w:num w:numId="14">
    <w:abstractNumId w:val="21"/>
  </w:num>
  <w:num w:numId="15">
    <w:abstractNumId w:val="8"/>
  </w:num>
  <w:num w:numId="16">
    <w:abstractNumId w:val="9"/>
  </w:num>
  <w:num w:numId="17">
    <w:abstractNumId w:val="16"/>
  </w:num>
  <w:num w:numId="18">
    <w:abstractNumId w:val="19"/>
  </w:num>
  <w:num w:numId="19">
    <w:abstractNumId w:val="0"/>
  </w:num>
  <w:num w:numId="20">
    <w:abstractNumId w:val="25"/>
  </w:num>
  <w:num w:numId="21">
    <w:abstractNumId w:val="7"/>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4"/>
  </w:num>
  <w:num w:numId="26">
    <w:abstractNumId w:val="23"/>
  </w:num>
  <w:num w:numId="27">
    <w:abstractNumId w:val="20"/>
  </w:num>
  <w:num w:numId="2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9"/>
  </w:num>
  <w:num w:numId="32">
    <w:abstractNumId w:val="0"/>
  </w:num>
  <w:num w:numId="33">
    <w:abstractNumId w:val="0"/>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8"/>
  </w:num>
  <w:num w:numId="39">
    <w:abstractNumId w:val="0"/>
  </w:num>
  <w:num w:numId="40">
    <w:abstractNumId w:val="8"/>
  </w:num>
  <w:num w:numId="41">
    <w:abstractNumId w:val="8"/>
  </w:num>
  <w:num w:numId="42">
    <w:abstractNumId w:val="11"/>
  </w:num>
  <w:num w:numId="43">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1BF"/>
    <w:rsid w:val="00001FF1"/>
    <w:rsid w:val="000029B1"/>
    <w:rsid w:val="00004C0D"/>
    <w:rsid w:val="000070E2"/>
    <w:rsid w:val="00011307"/>
    <w:rsid w:val="00012083"/>
    <w:rsid w:val="00012ED4"/>
    <w:rsid w:val="00017CCA"/>
    <w:rsid w:val="00020040"/>
    <w:rsid w:val="000208B1"/>
    <w:rsid w:val="00021988"/>
    <w:rsid w:val="00021F13"/>
    <w:rsid w:val="00026281"/>
    <w:rsid w:val="000321D7"/>
    <w:rsid w:val="00032773"/>
    <w:rsid w:val="00032971"/>
    <w:rsid w:val="00032AEC"/>
    <w:rsid w:val="000340BB"/>
    <w:rsid w:val="00037D23"/>
    <w:rsid w:val="00042481"/>
    <w:rsid w:val="00042A3E"/>
    <w:rsid w:val="000435E0"/>
    <w:rsid w:val="00044101"/>
    <w:rsid w:val="00045794"/>
    <w:rsid w:val="00045E03"/>
    <w:rsid w:val="00046554"/>
    <w:rsid w:val="00047605"/>
    <w:rsid w:val="00047DD8"/>
    <w:rsid w:val="000500B7"/>
    <w:rsid w:val="000503C0"/>
    <w:rsid w:val="0005159B"/>
    <w:rsid w:val="00051DF7"/>
    <w:rsid w:val="00053916"/>
    <w:rsid w:val="00053A39"/>
    <w:rsid w:val="0005440B"/>
    <w:rsid w:val="0005461B"/>
    <w:rsid w:val="00055041"/>
    <w:rsid w:val="0005554A"/>
    <w:rsid w:val="0005600F"/>
    <w:rsid w:val="000604DF"/>
    <w:rsid w:val="00060B04"/>
    <w:rsid w:val="000616CF"/>
    <w:rsid w:val="00062186"/>
    <w:rsid w:val="00062404"/>
    <w:rsid w:val="00063028"/>
    <w:rsid w:val="000640B2"/>
    <w:rsid w:val="00064906"/>
    <w:rsid w:val="0006634E"/>
    <w:rsid w:val="0006746B"/>
    <w:rsid w:val="00070737"/>
    <w:rsid w:val="00071A7F"/>
    <w:rsid w:val="000720A1"/>
    <w:rsid w:val="00072284"/>
    <w:rsid w:val="00072EDC"/>
    <w:rsid w:val="00074960"/>
    <w:rsid w:val="00075493"/>
    <w:rsid w:val="0007663C"/>
    <w:rsid w:val="00076BC0"/>
    <w:rsid w:val="00081D7E"/>
    <w:rsid w:val="00082991"/>
    <w:rsid w:val="00082A15"/>
    <w:rsid w:val="00083AB7"/>
    <w:rsid w:val="00084568"/>
    <w:rsid w:val="00085547"/>
    <w:rsid w:val="000862DD"/>
    <w:rsid w:val="00087827"/>
    <w:rsid w:val="000913EC"/>
    <w:rsid w:val="000925D7"/>
    <w:rsid w:val="000944A3"/>
    <w:rsid w:val="00094B11"/>
    <w:rsid w:val="00095492"/>
    <w:rsid w:val="00095D41"/>
    <w:rsid w:val="00096075"/>
    <w:rsid w:val="0009675D"/>
    <w:rsid w:val="00096DA2"/>
    <w:rsid w:val="000A077B"/>
    <w:rsid w:val="000A1088"/>
    <w:rsid w:val="000A18C1"/>
    <w:rsid w:val="000A2C49"/>
    <w:rsid w:val="000A2D1A"/>
    <w:rsid w:val="000A3DE3"/>
    <w:rsid w:val="000A4674"/>
    <w:rsid w:val="000A5056"/>
    <w:rsid w:val="000A6B52"/>
    <w:rsid w:val="000B07B1"/>
    <w:rsid w:val="000B197A"/>
    <w:rsid w:val="000B1DBB"/>
    <w:rsid w:val="000B2238"/>
    <w:rsid w:val="000B31B3"/>
    <w:rsid w:val="000B33AF"/>
    <w:rsid w:val="000B76CE"/>
    <w:rsid w:val="000C05E6"/>
    <w:rsid w:val="000C16E1"/>
    <w:rsid w:val="000C38E9"/>
    <w:rsid w:val="000C6028"/>
    <w:rsid w:val="000C7CB3"/>
    <w:rsid w:val="000D0CFC"/>
    <w:rsid w:val="000D1BF5"/>
    <w:rsid w:val="000D1F38"/>
    <w:rsid w:val="000D252B"/>
    <w:rsid w:val="000D4224"/>
    <w:rsid w:val="000D4646"/>
    <w:rsid w:val="000D4A28"/>
    <w:rsid w:val="000D703E"/>
    <w:rsid w:val="000E0BEB"/>
    <w:rsid w:val="000E10EF"/>
    <w:rsid w:val="000E3DF5"/>
    <w:rsid w:val="000E6287"/>
    <w:rsid w:val="000E62A2"/>
    <w:rsid w:val="000E7995"/>
    <w:rsid w:val="000E7A00"/>
    <w:rsid w:val="000F12C7"/>
    <w:rsid w:val="000F332B"/>
    <w:rsid w:val="000F46B2"/>
    <w:rsid w:val="000F4AA6"/>
    <w:rsid w:val="000F4FD4"/>
    <w:rsid w:val="000F791D"/>
    <w:rsid w:val="000F7A9E"/>
    <w:rsid w:val="00101D8C"/>
    <w:rsid w:val="00102292"/>
    <w:rsid w:val="00104F4B"/>
    <w:rsid w:val="001055A8"/>
    <w:rsid w:val="00105FBB"/>
    <w:rsid w:val="00106DFD"/>
    <w:rsid w:val="001122A1"/>
    <w:rsid w:val="001124B8"/>
    <w:rsid w:val="0011406E"/>
    <w:rsid w:val="0012041B"/>
    <w:rsid w:val="00120D90"/>
    <w:rsid w:val="001213EE"/>
    <w:rsid w:val="00121FA0"/>
    <w:rsid w:val="00124D34"/>
    <w:rsid w:val="00125391"/>
    <w:rsid w:val="0013006A"/>
    <w:rsid w:val="00131F7A"/>
    <w:rsid w:val="00132FFD"/>
    <w:rsid w:val="00133C6A"/>
    <w:rsid w:val="00134FCB"/>
    <w:rsid w:val="00137598"/>
    <w:rsid w:val="00137FAF"/>
    <w:rsid w:val="00140CDD"/>
    <w:rsid w:val="0014125C"/>
    <w:rsid w:val="001421D7"/>
    <w:rsid w:val="00144204"/>
    <w:rsid w:val="001515DC"/>
    <w:rsid w:val="0015193F"/>
    <w:rsid w:val="00152A20"/>
    <w:rsid w:val="00152C6C"/>
    <w:rsid w:val="0015330B"/>
    <w:rsid w:val="0015476E"/>
    <w:rsid w:val="00155244"/>
    <w:rsid w:val="00155BF7"/>
    <w:rsid w:val="00156DA7"/>
    <w:rsid w:val="001575F8"/>
    <w:rsid w:val="0016182C"/>
    <w:rsid w:val="00161C7C"/>
    <w:rsid w:val="0016458F"/>
    <w:rsid w:val="00164D59"/>
    <w:rsid w:val="00164EB2"/>
    <w:rsid w:val="00167984"/>
    <w:rsid w:val="0017147A"/>
    <w:rsid w:val="0017385B"/>
    <w:rsid w:val="00174729"/>
    <w:rsid w:val="00174F62"/>
    <w:rsid w:val="00175AB5"/>
    <w:rsid w:val="00176554"/>
    <w:rsid w:val="001770FC"/>
    <w:rsid w:val="0017752D"/>
    <w:rsid w:val="00180834"/>
    <w:rsid w:val="00180C75"/>
    <w:rsid w:val="00183D46"/>
    <w:rsid w:val="00184929"/>
    <w:rsid w:val="001851E8"/>
    <w:rsid w:val="0018553A"/>
    <w:rsid w:val="00190A81"/>
    <w:rsid w:val="00191636"/>
    <w:rsid w:val="00192CC5"/>
    <w:rsid w:val="0019378D"/>
    <w:rsid w:val="00193D93"/>
    <w:rsid w:val="0019419D"/>
    <w:rsid w:val="00194D69"/>
    <w:rsid w:val="00195394"/>
    <w:rsid w:val="00196CB9"/>
    <w:rsid w:val="00196D74"/>
    <w:rsid w:val="00197463"/>
    <w:rsid w:val="001A0FBE"/>
    <w:rsid w:val="001A3775"/>
    <w:rsid w:val="001A434D"/>
    <w:rsid w:val="001A4451"/>
    <w:rsid w:val="001A467C"/>
    <w:rsid w:val="001A4A4E"/>
    <w:rsid w:val="001A6671"/>
    <w:rsid w:val="001B0B0B"/>
    <w:rsid w:val="001B191B"/>
    <w:rsid w:val="001B2A6B"/>
    <w:rsid w:val="001B304A"/>
    <w:rsid w:val="001B4855"/>
    <w:rsid w:val="001B5AAE"/>
    <w:rsid w:val="001C3326"/>
    <w:rsid w:val="001C467D"/>
    <w:rsid w:val="001C633A"/>
    <w:rsid w:val="001D1E2F"/>
    <w:rsid w:val="001D4756"/>
    <w:rsid w:val="001D5111"/>
    <w:rsid w:val="001D547C"/>
    <w:rsid w:val="001D57F3"/>
    <w:rsid w:val="001D624E"/>
    <w:rsid w:val="001D796C"/>
    <w:rsid w:val="001E0AF0"/>
    <w:rsid w:val="001E1659"/>
    <w:rsid w:val="001E1D80"/>
    <w:rsid w:val="001E2421"/>
    <w:rsid w:val="001E4108"/>
    <w:rsid w:val="001E680D"/>
    <w:rsid w:val="001F1309"/>
    <w:rsid w:val="001F1C4A"/>
    <w:rsid w:val="001F62D0"/>
    <w:rsid w:val="00202BA1"/>
    <w:rsid w:val="00203276"/>
    <w:rsid w:val="00203DBC"/>
    <w:rsid w:val="002055A3"/>
    <w:rsid w:val="00205E7D"/>
    <w:rsid w:val="00206F28"/>
    <w:rsid w:val="00207878"/>
    <w:rsid w:val="002121AC"/>
    <w:rsid w:val="0021557B"/>
    <w:rsid w:val="00215812"/>
    <w:rsid w:val="00221D1F"/>
    <w:rsid w:val="00223758"/>
    <w:rsid w:val="00230C82"/>
    <w:rsid w:val="002317F0"/>
    <w:rsid w:val="00232009"/>
    <w:rsid w:val="00233B0E"/>
    <w:rsid w:val="00233C80"/>
    <w:rsid w:val="0023442F"/>
    <w:rsid w:val="00235582"/>
    <w:rsid w:val="00236C38"/>
    <w:rsid w:val="0023764F"/>
    <w:rsid w:val="00237914"/>
    <w:rsid w:val="00241031"/>
    <w:rsid w:val="0024185D"/>
    <w:rsid w:val="00242530"/>
    <w:rsid w:val="002447EF"/>
    <w:rsid w:val="00245243"/>
    <w:rsid w:val="002464A8"/>
    <w:rsid w:val="00246A46"/>
    <w:rsid w:val="00247567"/>
    <w:rsid w:val="00247CDC"/>
    <w:rsid w:val="00250AC1"/>
    <w:rsid w:val="002513C5"/>
    <w:rsid w:val="00251F4A"/>
    <w:rsid w:val="00253715"/>
    <w:rsid w:val="002550F5"/>
    <w:rsid w:val="002567DE"/>
    <w:rsid w:val="00256D30"/>
    <w:rsid w:val="00263099"/>
    <w:rsid w:val="002641EA"/>
    <w:rsid w:val="002650D5"/>
    <w:rsid w:val="00265729"/>
    <w:rsid w:val="002663AC"/>
    <w:rsid w:val="00267F4F"/>
    <w:rsid w:val="0027181B"/>
    <w:rsid w:val="00271A0A"/>
    <w:rsid w:val="00275302"/>
    <w:rsid w:val="0027636A"/>
    <w:rsid w:val="002766BF"/>
    <w:rsid w:val="00276A81"/>
    <w:rsid w:val="00276C90"/>
    <w:rsid w:val="002810D1"/>
    <w:rsid w:val="002827B1"/>
    <w:rsid w:val="00283557"/>
    <w:rsid w:val="002868AB"/>
    <w:rsid w:val="002879E2"/>
    <w:rsid w:val="00290321"/>
    <w:rsid w:val="002913E1"/>
    <w:rsid w:val="002918A0"/>
    <w:rsid w:val="00291FEB"/>
    <w:rsid w:val="00293A70"/>
    <w:rsid w:val="0029478B"/>
    <w:rsid w:val="002949FC"/>
    <w:rsid w:val="00294BB6"/>
    <w:rsid w:val="0029594C"/>
    <w:rsid w:val="0029667D"/>
    <w:rsid w:val="0029736C"/>
    <w:rsid w:val="002A3996"/>
    <w:rsid w:val="002A58CB"/>
    <w:rsid w:val="002A6929"/>
    <w:rsid w:val="002A7595"/>
    <w:rsid w:val="002A7950"/>
    <w:rsid w:val="002B0B07"/>
    <w:rsid w:val="002B141D"/>
    <w:rsid w:val="002B2159"/>
    <w:rsid w:val="002B5FD6"/>
    <w:rsid w:val="002B7006"/>
    <w:rsid w:val="002C3895"/>
    <w:rsid w:val="002C4598"/>
    <w:rsid w:val="002C462E"/>
    <w:rsid w:val="002C636B"/>
    <w:rsid w:val="002C6705"/>
    <w:rsid w:val="002D1372"/>
    <w:rsid w:val="002D153B"/>
    <w:rsid w:val="002D1C74"/>
    <w:rsid w:val="002D2811"/>
    <w:rsid w:val="002D298C"/>
    <w:rsid w:val="002D34F4"/>
    <w:rsid w:val="002D3925"/>
    <w:rsid w:val="002D4430"/>
    <w:rsid w:val="002D6887"/>
    <w:rsid w:val="002D7317"/>
    <w:rsid w:val="002E0D78"/>
    <w:rsid w:val="002E1752"/>
    <w:rsid w:val="002E2E17"/>
    <w:rsid w:val="002E3BCB"/>
    <w:rsid w:val="002E4740"/>
    <w:rsid w:val="002E4EFB"/>
    <w:rsid w:val="002E6483"/>
    <w:rsid w:val="002E69C2"/>
    <w:rsid w:val="002E7301"/>
    <w:rsid w:val="002F111C"/>
    <w:rsid w:val="002F184C"/>
    <w:rsid w:val="002F279B"/>
    <w:rsid w:val="002F30CE"/>
    <w:rsid w:val="002F410B"/>
    <w:rsid w:val="002F43D9"/>
    <w:rsid w:val="002F48F3"/>
    <w:rsid w:val="002F58BE"/>
    <w:rsid w:val="002F5DA5"/>
    <w:rsid w:val="002F6075"/>
    <w:rsid w:val="00300439"/>
    <w:rsid w:val="00300C15"/>
    <w:rsid w:val="0030264D"/>
    <w:rsid w:val="00302DFD"/>
    <w:rsid w:val="00304D43"/>
    <w:rsid w:val="00312E59"/>
    <w:rsid w:val="00313F5F"/>
    <w:rsid w:val="00314666"/>
    <w:rsid w:val="00315B01"/>
    <w:rsid w:val="00317243"/>
    <w:rsid w:val="00317749"/>
    <w:rsid w:val="00317F63"/>
    <w:rsid w:val="003219B7"/>
    <w:rsid w:val="00322351"/>
    <w:rsid w:val="00323417"/>
    <w:rsid w:val="00323FC3"/>
    <w:rsid w:val="00325397"/>
    <w:rsid w:val="00326B76"/>
    <w:rsid w:val="00327139"/>
    <w:rsid w:val="003301FB"/>
    <w:rsid w:val="003326F1"/>
    <w:rsid w:val="003359DE"/>
    <w:rsid w:val="00335E7C"/>
    <w:rsid w:val="00337C13"/>
    <w:rsid w:val="0034683B"/>
    <w:rsid w:val="00350444"/>
    <w:rsid w:val="00353B42"/>
    <w:rsid w:val="00354641"/>
    <w:rsid w:val="003561B3"/>
    <w:rsid w:val="003574A2"/>
    <w:rsid w:val="00361420"/>
    <w:rsid w:val="0036231B"/>
    <w:rsid w:val="00362663"/>
    <w:rsid w:val="003642FC"/>
    <w:rsid w:val="00365AED"/>
    <w:rsid w:val="0036709D"/>
    <w:rsid w:val="00367280"/>
    <w:rsid w:val="003723E8"/>
    <w:rsid w:val="00372A8F"/>
    <w:rsid w:val="00372B9A"/>
    <w:rsid w:val="00374147"/>
    <w:rsid w:val="00374772"/>
    <w:rsid w:val="00374B32"/>
    <w:rsid w:val="00375110"/>
    <w:rsid w:val="0037663B"/>
    <w:rsid w:val="00377B34"/>
    <w:rsid w:val="00380790"/>
    <w:rsid w:val="0038137C"/>
    <w:rsid w:val="003821F0"/>
    <w:rsid w:val="003822C6"/>
    <w:rsid w:val="00383782"/>
    <w:rsid w:val="00385223"/>
    <w:rsid w:val="003859F2"/>
    <w:rsid w:val="00390B04"/>
    <w:rsid w:val="00390D9E"/>
    <w:rsid w:val="0039113E"/>
    <w:rsid w:val="0039131D"/>
    <w:rsid w:val="00391CFE"/>
    <w:rsid w:val="00393814"/>
    <w:rsid w:val="00394181"/>
    <w:rsid w:val="0039634E"/>
    <w:rsid w:val="003A1425"/>
    <w:rsid w:val="003A23DA"/>
    <w:rsid w:val="003A26C4"/>
    <w:rsid w:val="003A38DD"/>
    <w:rsid w:val="003A4C68"/>
    <w:rsid w:val="003A57A7"/>
    <w:rsid w:val="003A5E7E"/>
    <w:rsid w:val="003B0330"/>
    <w:rsid w:val="003B0C00"/>
    <w:rsid w:val="003B1BA9"/>
    <w:rsid w:val="003B21C3"/>
    <w:rsid w:val="003B2872"/>
    <w:rsid w:val="003B2BE8"/>
    <w:rsid w:val="003B30E0"/>
    <w:rsid w:val="003B41A8"/>
    <w:rsid w:val="003B5836"/>
    <w:rsid w:val="003B5B17"/>
    <w:rsid w:val="003B6B44"/>
    <w:rsid w:val="003C4CDE"/>
    <w:rsid w:val="003C62E5"/>
    <w:rsid w:val="003D0021"/>
    <w:rsid w:val="003D0023"/>
    <w:rsid w:val="003D0F14"/>
    <w:rsid w:val="003D1FA4"/>
    <w:rsid w:val="003D24C0"/>
    <w:rsid w:val="003D2793"/>
    <w:rsid w:val="003D2FA2"/>
    <w:rsid w:val="003D466B"/>
    <w:rsid w:val="003D5251"/>
    <w:rsid w:val="003D5848"/>
    <w:rsid w:val="003D5DDA"/>
    <w:rsid w:val="003D6481"/>
    <w:rsid w:val="003E0992"/>
    <w:rsid w:val="003E164F"/>
    <w:rsid w:val="003E16BE"/>
    <w:rsid w:val="003E299D"/>
    <w:rsid w:val="003E40F8"/>
    <w:rsid w:val="003E667F"/>
    <w:rsid w:val="003E6A86"/>
    <w:rsid w:val="003E719F"/>
    <w:rsid w:val="003F0231"/>
    <w:rsid w:val="003F053F"/>
    <w:rsid w:val="003F0D2C"/>
    <w:rsid w:val="003F13F9"/>
    <w:rsid w:val="003F26EC"/>
    <w:rsid w:val="003F5E65"/>
    <w:rsid w:val="003F6213"/>
    <w:rsid w:val="003F7E6C"/>
    <w:rsid w:val="00401093"/>
    <w:rsid w:val="00401128"/>
    <w:rsid w:val="00402724"/>
    <w:rsid w:val="004042FD"/>
    <w:rsid w:val="00404867"/>
    <w:rsid w:val="004119CD"/>
    <w:rsid w:val="00412DF2"/>
    <w:rsid w:val="00413626"/>
    <w:rsid w:val="0041370D"/>
    <w:rsid w:val="0041456D"/>
    <w:rsid w:val="00414D8D"/>
    <w:rsid w:val="00415D5C"/>
    <w:rsid w:val="00420F92"/>
    <w:rsid w:val="004211A6"/>
    <w:rsid w:val="0042134F"/>
    <w:rsid w:val="004215F3"/>
    <w:rsid w:val="00421797"/>
    <w:rsid w:val="00421CF0"/>
    <w:rsid w:val="00422217"/>
    <w:rsid w:val="00424FD6"/>
    <w:rsid w:val="004276D4"/>
    <w:rsid w:val="00430227"/>
    <w:rsid w:val="00431F90"/>
    <w:rsid w:val="00433477"/>
    <w:rsid w:val="00433814"/>
    <w:rsid w:val="00440314"/>
    <w:rsid w:val="00440975"/>
    <w:rsid w:val="0044249D"/>
    <w:rsid w:val="0044262E"/>
    <w:rsid w:val="0044359C"/>
    <w:rsid w:val="00443F8B"/>
    <w:rsid w:val="00444A56"/>
    <w:rsid w:val="00444BAC"/>
    <w:rsid w:val="0044563A"/>
    <w:rsid w:val="004461E9"/>
    <w:rsid w:val="00446AA6"/>
    <w:rsid w:val="004509D1"/>
    <w:rsid w:val="00450BBD"/>
    <w:rsid w:val="0045340B"/>
    <w:rsid w:val="00456081"/>
    <w:rsid w:val="00456692"/>
    <w:rsid w:val="00457575"/>
    <w:rsid w:val="00457681"/>
    <w:rsid w:val="00460820"/>
    <w:rsid w:val="00461B4E"/>
    <w:rsid w:val="00462ED9"/>
    <w:rsid w:val="00463059"/>
    <w:rsid w:val="0046337E"/>
    <w:rsid w:val="00463F52"/>
    <w:rsid w:val="00463F95"/>
    <w:rsid w:val="0046408C"/>
    <w:rsid w:val="00464261"/>
    <w:rsid w:val="004642C7"/>
    <w:rsid w:val="004666D3"/>
    <w:rsid w:val="00466C5E"/>
    <w:rsid w:val="00466C74"/>
    <w:rsid w:val="004720A1"/>
    <w:rsid w:val="0047387E"/>
    <w:rsid w:val="00474553"/>
    <w:rsid w:val="00474939"/>
    <w:rsid w:val="004751A8"/>
    <w:rsid w:val="00476328"/>
    <w:rsid w:val="00476578"/>
    <w:rsid w:val="00476B56"/>
    <w:rsid w:val="00477728"/>
    <w:rsid w:val="00480BBA"/>
    <w:rsid w:val="00480C12"/>
    <w:rsid w:val="00480C6F"/>
    <w:rsid w:val="0048301A"/>
    <w:rsid w:val="00484417"/>
    <w:rsid w:val="004847F3"/>
    <w:rsid w:val="0049020C"/>
    <w:rsid w:val="004902D0"/>
    <w:rsid w:val="00490EBE"/>
    <w:rsid w:val="0049186D"/>
    <w:rsid w:val="004921DB"/>
    <w:rsid w:val="004935B9"/>
    <w:rsid w:val="00493DEF"/>
    <w:rsid w:val="0049512A"/>
    <w:rsid w:val="0049524C"/>
    <w:rsid w:val="00495256"/>
    <w:rsid w:val="0049591F"/>
    <w:rsid w:val="004962C1"/>
    <w:rsid w:val="004963AD"/>
    <w:rsid w:val="004969B3"/>
    <w:rsid w:val="00497132"/>
    <w:rsid w:val="0049728D"/>
    <w:rsid w:val="00497441"/>
    <w:rsid w:val="004A0704"/>
    <w:rsid w:val="004A0EFA"/>
    <w:rsid w:val="004A11BB"/>
    <w:rsid w:val="004A2DE8"/>
    <w:rsid w:val="004A3FF0"/>
    <w:rsid w:val="004A4DC2"/>
    <w:rsid w:val="004A73D9"/>
    <w:rsid w:val="004B24FC"/>
    <w:rsid w:val="004B2C7C"/>
    <w:rsid w:val="004B3401"/>
    <w:rsid w:val="004B353F"/>
    <w:rsid w:val="004B3E84"/>
    <w:rsid w:val="004B3FF4"/>
    <w:rsid w:val="004B5CCC"/>
    <w:rsid w:val="004C070A"/>
    <w:rsid w:val="004C3B63"/>
    <w:rsid w:val="004C3C4F"/>
    <w:rsid w:val="004C4199"/>
    <w:rsid w:val="004C479A"/>
    <w:rsid w:val="004C66C6"/>
    <w:rsid w:val="004C6ABA"/>
    <w:rsid w:val="004C6D36"/>
    <w:rsid w:val="004C73F2"/>
    <w:rsid w:val="004D08B7"/>
    <w:rsid w:val="004D4FEF"/>
    <w:rsid w:val="004D5149"/>
    <w:rsid w:val="004D52D1"/>
    <w:rsid w:val="004D5D10"/>
    <w:rsid w:val="004D7B26"/>
    <w:rsid w:val="004E2547"/>
    <w:rsid w:val="004E2D39"/>
    <w:rsid w:val="004E36CB"/>
    <w:rsid w:val="004E4816"/>
    <w:rsid w:val="004E48A0"/>
    <w:rsid w:val="004E600C"/>
    <w:rsid w:val="004E6974"/>
    <w:rsid w:val="004E6F8F"/>
    <w:rsid w:val="004E6FA3"/>
    <w:rsid w:val="004E72BC"/>
    <w:rsid w:val="004E7F1E"/>
    <w:rsid w:val="004F0B0A"/>
    <w:rsid w:val="004F2758"/>
    <w:rsid w:val="004F3579"/>
    <w:rsid w:val="004F4BAD"/>
    <w:rsid w:val="00500F3D"/>
    <w:rsid w:val="005014B4"/>
    <w:rsid w:val="00502F66"/>
    <w:rsid w:val="005035A0"/>
    <w:rsid w:val="0050548A"/>
    <w:rsid w:val="00505EC5"/>
    <w:rsid w:val="005070A5"/>
    <w:rsid w:val="005072B9"/>
    <w:rsid w:val="00507AA6"/>
    <w:rsid w:val="00507ADE"/>
    <w:rsid w:val="00510CD4"/>
    <w:rsid w:val="005119ED"/>
    <w:rsid w:val="00514D2F"/>
    <w:rsid w:val="0051681D"/>
    <w:rsid w:val="005173CF"/>
    <w:rsid w:val="00517565"/>
    <w:rsid w:val="00517BB8"/>
    <w:rsid w:val="005207D0"/>
    <w:rsid w:val="0052168B"/>
    <w:rsid w:val="00523318"/>
    <w:rsid w:val="0052484D"/>
    <w:rsid w:val="0052687C"/>
    <w:rsid w:val="00527EB6"/>
    <w:rsid w:val="0053027B"/>
    <w:rsid w:val="00530AD4"/>
    <w:rsid w:val="0053220C"/>
    <w:rsid w:val="005325FD"/>
    <w:rsid w:val="00533D85"/>
    <w:rsid w:val="00533E1F"/>
    <w:rsid w:val="005340E3"/>
    <w:rsid w:val="0053458D"/>
    <w:rsid w:val="00535CD8"/>
    <w:rsid w:val="00536DF9"/>
    <w:rsid w:val="00537786"/>
    <w:rsid w:val="00537AC7"/>
    <w:rsid w:val="00540835"/>
    <w:rsid w:val="005409E6"/>
    <w:rsid w:val="0054164F"/>
    <w:rsid w:val="00542064"/>
    <w:rsid w:val="00542114"/>
    <w:rsid w:val="0054432B"/>
    <w:rsid w:val="0054578D"/>
    <w:rsid w:val="005458A5"/>
    <w:rsid w:val="00546A2E"/>
    <w:rsid w:val="00547B3A"/>
    <w:rsid w:val="00547CDA"/>
    <w:rsid w:val="00551815"/>
    <w:rsid w:val="00551DA0"/>
    <w:rsid w:val="005523AC"/>
    <w:rsid w:val="00553D81"/>
    <w:rsid w:val="00553E80"/>
    <w:rsid w:val="00555AA1"/>
    <w:rsid w:val="0055762F"/>
    <w:rsid w:val="00560A14"/>
    <w:rsid w:val="00561505"/>
    <w:rsid w:val="00561576"/>
    <w:rsid w:val="005623B9"/>
    <w:rsid w:val="00562B97"/>
    <w:rsid w:val="00567ABE"/>
    <w:rsid w:val="005717B0"/>
    <w:rsid w:val="00572D57"/>
    <w:rsid w:val="00573804"/>
    <w:rsid w:val="00574629"/>
    <w:rsid w:val="00575838"/>
    <w:rsid w:val="00576039"/>
    <w:rsid w:val="00576529"/>
    <w:rsid w:val="005779BB"/>
    <w:rsid w:val="005812E4"/>
    <w:rsid w:val="00581771"/>
    <w:rsid w:val="00582190"/>
    <w:rsid w:val="0058285D"/>
    <w:rsid w:val="00582AEA"/>
    <w:rsid w:val="00584480"/>
    <w:rsid w:val="005876BB"/>
    <w:rsid w:val="00587D16"/>
    <w:rsid w:val="00587ECE"/>
    <w:rsid w:val="00590F57"/>
    <w:rsid w:val="00591E8D"/>
    <w:rsid w:val="00592363"/>
    <w:rsid w:val="0059327B"/>
    <w:rsid w:val="00593BE0"/>
    <w:rsid w:val="00597682"/>
    <w:rsid w:val="005976BB"/>
    <w:rsid w:val="005979FC"/>
    <w:rsid w:val="005A2A9D"/>
    <w:rsid w:val="005A2D7E"/>
    <w:rsid w:val="005A4985"/>
    <w:rsid w:val="005A5308"/>
    <w:rsid w:val="005A6930"/>
    <w:rsid w:val="005A6BA9"/>
    <w:rsid w:val="005A7C3A"/>
    <w:rsid w:val="005A7CFB"/>
    <w:rsid w:val="005B1669"/>
    <w:rsid w:val="005B4367"/>
    <w:rsid w:val="005B7345"/>
    <w:rsid w:val="005C1386"/>
    <w:rsid w:val="005C4512"/>
    <w:rsid w:val="005C4B9B"/>
    <w:rsid w:val="005C7FA7"/>
    <w:rsid w:val="005D1007"/>
    <w:rsid w:val="005D108E"/>
    <w:rsid w:val="005D1796"/>
    <w:rsid w:val="005D1CFD"/>
    <w:rsid w:val="005D2689"/>
    <w:rsid w:val="005D2E28"/>
    <w:rsid w:val="005D33B0"/>
    <w:rsid w:val="005D3939"/>
    <w:rsid w:val="005D5279"/>
    <w:rsid w:val="005D5F3D"/>
    <w:rsid w:val="005D7100"/>
    <w:rsid w:val="005E058F"/>
    <w:rsid w:val="005E17F0"/>
    <w:rsid w:val="005E1EE9"/>
    <w:rsid w:val="005E2431"/>
    <w:rsid w:val="005E26B4"/>
    <w:rsid w:val="005E31DA"/>
    <w:rsid w:val="005E334C"/>
    <w:rsid w:val="005E3915"/>
    <w:rsid w:val="005E4A4D"/>
    <w:rsid w:val="005E4ABC"/>
    <w:rsid w:val="005E5576"/>
    <w:rsid w:val="005F020C"/>
    <w:rsid w:val="005F03F0"/>
    <w:rsid w:val="005F0B40"/>
    <w:rsid w:val="005F3571"/>
    <w:rsid w:val="005F3A92"/>
    <w:rsid w:val="005F41A6"/>
    <w:rsid w:val="005F4BB8"/>
    <w:rsid w:val="005F4DCE"/>
    <w:rsid w:val="005F5E3F"/>
    <w:rsid w:val="00601BC5"/>
    <w:rsid w:val="00602E66"/>
    <w:rsid w:val="00604D1C"/>
    <w:rsid w:val="00605632"/>
    <w:rsid w:val="00605A15"/>
    <w:rsid w:val="00605F9C"/>
    <w:rsid w:val="0060638A"/>
    <w:rsid w:val="00606725"/>
    <w:rsid w:val="00606E72"/>
    <w:rsid w:val="00612E5F"/>
    <w:rsid w:val="006145D1"/>
    <w:rsid w:val="006152F9"/>
    <w:rsid w:val="006154AD"/>
    <w:rsid w:val="0061754B"/>
    <w:rsid w:val="006200BD"/>
    <w:rsid w:val="00620547"/>
    <w:rsid w:val="006221BF"/>
    <w:rsid w:val="00622712"/>
    <w:rsid w:val="00622885"/>
    <w:rsid w:val="00623973"/>
    <w:rsid w:val="00625481"/>
    <w:rsid w:val="00627400"/>
    <w:rsid w:val="00630C1C"/>
    <w:rsid w:val="00631CCB"/>
    <w:rsid w:val="00634A93"/>
    <w:rsid w:val="006365BC"/>
    <w:rsid w:val="006414C3"/>
    <w:rsid w:val="006417EF"/>
    <w:rsid w:val="00642527"/>
    <w:rsid w:val="00644FC7"/>
    <w:rsid w:val="00645203"/>
    <w:rsid w:val="00646A80"/>
    <w:rsid w:val="0064703C"/>
    <w:rsid w:val="0065019D"/>
    <w:rsid w:val="00650457"/>
    <w:rsid w:val="00650B35"/>
    <w:rsid w:val="0065121A"/>
    <w:rsid w:val="00651924"/>
    <w:rsid w:val="00651C0E"/>
    <w:rsid w:val="0065279F"/>
    <w:rsid w:val="006554E2"/>
    <w:rsid w:val="00655CAC"/>
    <w:rsid w:val="0065627A"/>
    <w:rsid w:val="00657AED"/>
    <w:rsid w:val="006622BE"/>
    <w:rsid w:val="00662BC6"/>
    <w:rsid w:val="006631E2"/>
    <w:rsid w:val="0066480A"/>
    <w:rsid w:val="00664DEC"/>
    <w:rsid w:val="006670F2"/>
    <w:rsid w:val="00667CEC"/>
    <w:rsid w:val="00670011"/>
    <w:rsid w:val="006703C2"/>
    <w:rsid w:val="00671157"/>
    <w:rsid w:val="00671D00"/>
    <w:rsid w:val="00672446"/>
    <w:rsid w:val="006730CB"/>
    <w:rsid w:val="006732AB"/>
    <w:rsid w:val="00674B7A"/>
    <w:rsid w:val="006754F0"/>
    <w:rsid w:val="00676208"/>
    <w:rsid w:val="0067634B"/>
    <w:rsid w:val="00677249"/>
    <w:rsid w:val="0068061C"/>
    <w:rsid w:val="00680650"/>
    <w:rsid w:val="00681FB4"/>
    <w:rsid w:val="00682E8F"/>
    <w:rsid w:val="00683150"/>
    <w:rsid w:val="00684438"/>
    <w:rsid w:val="00684CD7"/>
    <w:rsid w:val="00686110"/>
    <w:rsid w:val="00686609"/>
    <w:rsid w:val="00686C83"/>
    <w:rsid w:val="00690122"/>
    <w:rsid w:val="00693532"/>
    <w:rsid w:val="00694E92"/>
    <w:rsid w:val="006952E8"/>
    <w:rsid w:val="006969DC"/>
    <w:rsid w:val="00696BEF"/>
    <w:rsid w:val="0069703C"/>
    <w:rsid w:val="006A05A9"/>
    <w:rsid w:val="006A2E1C"/>
    <w:rsid w:val="006A3F9F"/>
    <w:rsid w:val="006A46C9"/>
    <w:rsid w:val="006A63A0"/>
    <w:rsid w:val="006B24A7"/>
    <w:rsid w:val="006B3283"/>
    <w:rsid w:val="006B4830"/>
    <w:rsid w:val="006B5076"/>
    <w:rsid w:val="006B68D3"/>
    <w:rsid w:val="006B6D71"/>
    <w:rsid w:val="006B7078"/>
    <w:rsid w:val="006B718F"/>
    <w:rsid w:val="006B789C"/>
    <w:rsid w:val="006B7A0E"/>
    <w:rsid w:val="006B7A31"/>
    <w:rsid w:val="006B7BD2"/>
    <w:rsid w:val="006C0432"/>
    <w:rsid w:val="006C1723"/>
    <w:rsid w:val="006C3CA4"/>
    <w:rsid w:val="006C42A3"/>
    <w:rsid w:val="006C47F8"/>
    <w:rsid w:val="006C54F2"/>
    <w:rsid w:val="006C61E5"/>
    <w:rsid w:val="006C6496"/>
    <w:rsid w:val="006C742A"/>
    <w:rsid w:val="006C7742"/>
    <w:rsid w:val="006C7C1B"/>
    <w:rsid w:val="006C7D2C"/>
    <w:rsid w:val="006D0AA7"/>
    <w:rsid w:val="006D0D9A"/>
    <w:rsid w:val="006D127C"/>
    <w:rsid w:val="006D2702"/>
    <w:rsid w:val="006D275A"/>
    <w:rsid w:val="006D3395"/>
    <w:rsid w:val="006D33A9"/>
    <w:rsid w:val="006D3F71"/>
    <w:rsid w:val="006D5751"/>
    <w:rsid w:val="006D7BDB"/>
    <w:rsid w:val="006E047C"/>
    <w:rsid w:val="006E0D2C"/>
    <w:rsid w:val="006E26D7"/>
    <w:rsid w:val="006E2C22"/>
    <w:rsid w:val="006E55CD"/>
    <w:rsid w:val="006E64E5"/>
    <w:rsid w:val="006E7AAD"/>
    <w:rsid w:val="006F1428"/>
    <w:rsid w:val="006F2DA3"/>
    <w:rsid w:val="006F3D7B"/>
    <w:rsid w:val="006F4494"/>
    <w:rsid w:val="006F4C44"/>
    <w:rsid w:val="006F5B17"/>
    <w:rsid w:val="006F5BF8"/>
    <w:rsid w:val="006F6087"/>
    <w:rsid w:val="006F611C"/>
    <w:rsid w:val="006F61F1"/>
    <w:rsid w:val="006F70F1"/>
    <w:rsid w:val="006F72C8"/>
    <w:rsid w:val="006F7BF4"/>
    <w:rsid w:val="007015B6"/>
    <w:rsid w:val="00703A9C"/>
    <w:rsid w:val="00704FB6"/>
    <w:rsid w:val="0070568C"/>
    <w:rsid w:val="0070627E"/>
    <w:rsid w:val="007076BB"/>
    <w:rsid w:val="00707A39"/>
    <w:rsid w:val="007109B6"/>
    <w:rsid w:val="0071130B"/>
    <w:rsid w:val="00711F9B"/>
    <w:rsid w:val="00712F04"/>
    <w:rsid w:val="00713223"/>
    <w:rsid w:val="00713BD6"/>
    <w:rsid w:val="00714378"/>
    <w:rsid w:val="00715A81"/>
    <w:rsid w:val="00716751"/>
    <w:rsid w:val="00717B37"/>
    <w:rsid w:val="007200EC"/>
    <w:rsid w:val="00720829"/>
    <w:rsid w:val="00721420"/>
    <w:rsid w:val="007253C7"/>
    <w:rsid w:val="007255D6"/>
    <w:rsid w:val="00725695"/>
    <w:rsid w:val="00731C52"/>
    <w:rsid w:val="007326E9"/>
    <w:rsid w:val="00735D60"/>
    <w:rsid w:val="00736451"/>
    <w:rsid w:val="007375A3"/>
    <w:rsid w:val="00742250"/>
    <w:rsid w:val="007471DD"/>
    <w:rsid w:val="00747CE4"/>
    <w:rsid w:val="00750092"/>
    <w:rsid w:val="00752975"/>
    <w:rsid w:val="00753626"/>
    <w:rsid w:val="00753977"/>
    <w:rsid w:val="007540F7"/>
    <w:rsid w:val="007568DE"/>
    <w:rsid w:val="00756A90"/>
    <w:rsid w:val="00756DDF"/>
    <w:rsid w:val="00757EF4"/>
    <w:rsid w:val="0076037D"/>
    <w:rsid w:val="0076279E"/>
    <w:rsid w:val="00762B6A"/>
    <w:rsid w:val="00762D6E"/>
    <w:rsid w:val="007643C5"/>
    <w:rsid w:val="00771113"/>
    <w:rsid w:val="00773652"/>
    <w:rsid w:val="00774A71"/>
    <w:rsid w:val="007838B6"/>
    <w:rsid w:val="00784086"/>
    <w:rsid w:val="007842AB"/>
    <w:rsid w:val="00785370"/>
    <w:rsid w:val="00785FD1"/>
    <w:rsid w:val="007879E8"/>
    <w:rsid w:val="007910CD"/>
    <w:rsid w:val="00791317"/>
    <w:rsid w:val="00791DE4"/>
    <w:rsid w:val="007924FC"/>
    <w:rsid w:val="00792795"/>
    <w:rsid w:val="007932D9"/>
    <w:rsid w:val="0079368F"/>
    <w:rsid w:val="0079488A"/>
    <w:rsid w:val="007948BC"/>
    <w:rsid w:val="00795571"/>
    <w:rsid w:val="00796903"/>
    <w:rsid w:val="0079749C"/>
    <w:rsid w:val="00797B72"/>
    <w:rsid w:val="007A23FB"/>
    <w:rsid w:val="007A4215"/>
    <w:rsid w:val="007A45A9"/>
    <w:rsid w:val="007A6325"/>
    <w:rsid w:val="007B093A"/>
    <w:rsid w:val="007B0FF1"/>
    <w:rsid w:val="007B1CBD"/>
    <w:rsid w:val="007B7B9E"/>
    <w:rsid w:val="007C4027"/>
    <w:rsid w:val="007C5FB8"/>
    <w:rsid w:val="007C622C"/>
    <w:rsid w:val="007C7279"/>
    <w:rsid w:val="007C747D"/>
    <w:rsid w:val="007D0816"/>
    <w:rsid w:val="007D090D"/>
    <w:rsid w:val="007D187E"/>
    <w:rsid w:val="007D3E01"/>
    <w:rsid w:val="007D41BE"/>
    <w:rsid w:val="007D5912"/>
    <w:rsid w:val="007D6529"/>
    <w:rsid w:val="007E027E"/>
    <w:rsid w:val="007E1A72"/>
    <w:rsid w:val="007E1DF1"/>
    <w:rsid w:val="007E36CB"/>
    <w:rsid w:val="007E3EEE"/>
    <w:rsid w:val="007E538D"/>
    <w:rsid w:val="007E5D1F"/>
    <w:rsid w:val="007E682E"/>
    <w:rsid w:val="007F08D5"/>
    <w:rsid w:val="007F18E7"/>
    <w:rsid w:val="007F2DF8"/>
    <w:rsid w:val="007F38EE"/>
    <w:rsid w:val="007F4356"/>
    <w:rsid w:val="007F47ED"/>
    <w:rsid w:val="007F731A"/>
    <w:rsid w:val="00800743"/>
    <w:rsid w:val="008017A3"/>
    <w:rsid w:val="00802C0E"/>
    <w:rsid w:val="00803539"/>
    <w:rsid w:val="00805436"/>
    <w:rsid w:val="00805CA5"/>
    <w:rsid w:val="00806335"/>
    <w:rsid w:val="0080786C"/>
    <w:rsid w:val="00810B08"/>
    <w:rsid w:val="008129A4"/>
    <w:rsid w:val="00812B39"/>
    <w:rsid w:val="008138ED"/>
    <w:rsid w:val="00814159"/>
    <w:rsid w:val="00815924"/>
    <w:rsid w:val="0081704C"/>
    <w:rsid w:val="00820672"/>
    <w:rsid w:val="0082089B"/>
    <w:rsid w:val="00820A63"/>
    <w:rsid w:val="00820E04"/>
    <w:rsid w:val="00821AE3"/>
    <w:rsid w:val="00823738"/>
    <w:rsid w:val="00825763"/>
    <w:rsid w:val="00826D7C"/>
    <w:rsid w:val="008276DA"/>
    <w:rsid w:val="00830FE1"/>
    <w:rsid w:val="00831F4B"/>
    <w:rsid w:val="00832369"/>
    <w:rsid w:val="00832961"/>
    <w:rsid w:val="008341AD"/>
    <w:rsid w:val="00836002"/>
    <w:rsid w:val="008362BA"/>
    <w:rsid w:val="0083713B"/>
    <w:rsid w:val="00840EBC"/>
    <w:rsid w:val="0084274F"/>
    <w:rsid w:val="008445A3"/>
    <w:rsid w:val="0084622C"/>
    <w:rsid w:val="00846292"/>
    <w:rsid w:val="00847288"/>
    <w:rsid w:val="00847430"/>
    <w:rsid w:val="00851E7F"/>
    <w:rsid w:val="008526E0"/>
    <w:rsid w:val="00853192"/>
    <w:rsid w:val="008542C0"/>
    <w:rsid w:val="00856B21"/>
    <w:rsid w:val="00857274"/>
    <w:rsid w:val="00857613"/>
    <w:rsid w:val="00857BD6"/>
    <w:rsid w:val="008609B8"/>
    <w:rsid w:val="00863E97"/>
    <w:rsid w:val="008645AD"/>
    <w:rsid w:val="00864A55"/>
    <w:rsid w:val="00870543"/>
    <w:rsid w:val="00870F0B"/>
    <w:rsid w:val="00872C46"/>
    <w:rsid w:val="00872CCA"/>
    <w:rsid w:val="00875D7E"/>
    <w:rsid w:val="0087636A"/>
    <w:rsid w:val="00877E61"/>
    <w:rsid w:val="00880068"/>
    <w:rsid w:val="00880A38"/>
    <w:rsid w:val="008816E9"/>
    <w:rsid w:val="00882053"/>
    <w:rsid w:val="008820BD"/>
    <w:rsid w:val="00882272"/>
    <w:rsid w:val="00882F23"/>
    <w:rsid w:val="008845B2"/>
    <w:rsid w:val="00885928"/>
    <w:rsid w:val="00887132"/>
    <w:rsid w:val="008919EC"/>
    <w:rsid w:val="008927E0"/>
    <w:rsid w:val="00893125"/>
    <w:rsid w:val="0089475E"/>
    <w:rsid w:val="00895F22"/>
    <w:rsid w:val="00895F56"/>
    <w:rsid w:val="00897B1B"/>
    <w:rsid w:val="008A2558"/>
    <w:rsid w:val="008A2710"/>
    <w:rsid w:val="008A2A93"/>
    <w:rsid w:val="008A348D"/>
    <w:rsid w:val="008A3D99"/>
    <w:rsid w:val="008A5042"/>
    <w:rsid w:val="008A5086"/>
    <w:rsid w:val="008A6A95"/>
    <w:rsid w:val="008A741F"/>
    <w:rsid w:val="008B071E"/>
    <w:rsid w:val="008B10B5"/>
    <w:rsid w:val="008B2CCE"/>
    <w:rsid w:val="008B2F61"/>
    <w:rsid w:val="008B3E83"/>
    <w:rsid w:val="008B64EA"/>
    <w:rsid w:val="008B6930"/>
    <w:rsid w:val="008B766F"/>
    <w:rsid w:val="008C04E7"/>
    <w:rsid w:val="008C17C1"/>
    <w:rsid w:val="008C275C"/>
    <w:rsid w:val="008C27AB"/>
    <w:rsid w:val="008C356F"/>
    <w:rsid w:val="008C3CBB"/>
    <w:rsid w:val="008C4587"/>
    <w:rsid w:val="008C5004"/>
    <w:rsid w:val="008C525D"/>
    <w:rsid w:val="008C6774"/>
    <w:rsid w:val="008C691C"/>
    <w:rsid w:val="008D0C30"/>
    <w:rsid w:val="008D288E"/>
    <w:rsid w:val="008D498F"/>
    <w:rsid w:val="008D4C73"/>
    <w:rsid w:val="008D579B"/>
    <w:rsid w:val="008D5DA8"/>
    <w:rsid w:val="008D70E9"/>
    <w:rsid w:val="008D7CC4"/>
    <w:rsid w:val="008E2199"/>
    <w:rsid w:val="008E2530"/>
    <w:rsid w:val="008E2F50"/>
    <w:rsid w:val="008E3135"/>
    <w:rsid w:val="008E343E"/>
    <w:rsid w:val="008E4967"/>
    <w:rsid w:val="008E5826"/>
    <w:rsid w:val="008E58E5"/>
    <w:rsid w:val="008E7C77"/>
    <w:rsid w:val="008F01DD"/>
    <w:rsid w:val="008F2A7A"/>
    <w:rsid w:val="008F344D"/>
    <w:rsid w:val="008F3841"/>
    <w:rsid w:val="008F5092"/>
    <w:rsid w:val="008F51EF"/>
    <w:rsid w:val="008F587F"/>
    <w:rsid w:val="008F6559"/>
    <w:rsid w:val="00901201"/>
    <w:rsid w:val="00901274"/>
    <w:rsid w:val="009016B0"/>
    <w:rsid w:val="00906425"/>
    <w:rsid w:val="00906903"/>
    <w:rsid w:val="0090698E"/>
    <w:rsid w:val="00910CFD"/>
    <w:rsid w:val="00911622"/>
    <w:rsid w:val="009135FF"/>
    <w:rsid w:val="009144D1"/>
    <w:rsid w:val="009144E3"/>
    <w:rsid w:val="00914F41"/>
    <w:rsid w:val="00915FF5"/>
    <w:rsid w:val="00916B6E"/>
    <w:rsid w:val="0092123B"/>
    <w:rsid w:val="00921429"/>
    <w:rsid w:val="00922138"/>
    <w:rsid w:val="00922286"/>
    <w:rsid w:val="009227EF"/>
    <w:rsid w:val="00924D18"/>
    <w:rsid w:val="009270C5"/>
    <w:rsid w:val="00927AAD"/>
    <w:rsid w:val="009311B1"/>
    <w:rsid w:val="0093338E"/>
    <w:rsid w:val="00933977"/>
    <w:rsid w:val="00934625"/>
    <w:rsid w:val="00934A18"/>
    <w:rsid w:val="00935EB9"/>
    <w:rsid w:val="009375B5"/>
    <w:rsid w:val="00937F8F"/>
    <w:rsid w:val="00940207"/>
    <w:rsid w:val="00940592"/>
    <w:rsid w:val="00943C12"/>
    <w:rsid w:val="009447F3"/>
    <w:rsid w:val="00945286"/>
    <w:rsid w:val="00945498"/>
    <w:rsid w:val="00945B42"/>
    <w:rsid w:val="00945E9E"/>
    <w:rsid w:val="00945F9F"/>
    <w:rsid w:val="009468D9"/>
    <w:rsid w:val="00946917"/>
    <w:rsid w:val="00951775"/>
    <w:rsid w:val="00952E0F"/>
    <w:rsid w:val="00953423"/>
    <w:rsid w:val="00954B73"/>
    <w:rsid w:val="009553AA"/>
    <w:rsid w:val="0096045D"/>
    <w:rsid w:val="00960C5A"/>
    <w:rsid w:val="0096101F"/>
    <w:rsid w:val="009619F2"/>
    <w:rsid w:val="00962B08"/>
    <w:rsid w:val="00964EC5"/>
    <w:rsid w:val="009655E0"/>
    <w:rsid w:val="00967DC7"/>
    <w:rsid w:val="0097060D"/>
    <w:rsid w:val="009715BB"/>
    <w:rsid w:val="00972565"/>
    <w:rsid w:val="00975FE2"/>
    <w:rsid w:val="00977BA7"/>
    <w:rsid w:val="009804D3"/>
    <w:rsid w:val="00982CA7"/>
    <w:rsid w:val="0098344E"/>
    <w:rsid w:val="00983647"/>
    <w:rsid w:val="00983952"/>
    <w:rsid w:val="009845A5"/>
    <w:rsid w:val="00984BE6"/>
    <w:rsid w:val="00984F84"/>
    <w:rsid w:val="00985C98"/>
    <w:rsid w:val="009902E7"/>
    <w:rsid w:val="009905B3"/>
    <w:rsid w:val="00991432"/>
    <w:rsid w:val="0099194C"/>
    <w:rsid w:val="00995169"/>
    <w:rsid w:val="00995553"/>
    <w:rsid w:val="009969AE"/>
    <w:rsid w:val="009A17F3"/>
    <w:rsid w:val="009A2E5E"/>
    <w:rsid w:val="009A3535"/>
    <w:rsid w:val="009A3B4F"/>
    <w:rsid w:val="009B08F5"/>
    <w:rsid w:val="009B55BD"/>
    <w:rsid w:val="009B67FA"/>
    <w:rsid w:val="009B6C15"/>
    <w:rsid w:val="009B73A0"/>
    <w:rsid w:val="009C0B28"/>
    <w:rsid w:val="009C1402"/>
    <w:rsid w:val="009C1FD1"/>
    <w:rsid w:val="009C2925"/>
    <w:rsid w:val="009C403C"/>
    <w:rsid w:val="009C429F"/>
    <w:rsid w:val="009C493D"/>
    <w:rsid w:val="009C5569"/>
    <w:rsid w:val="009C5FD9"/>
    <w:rsid w:val="009C77AF"/>
    <w:rsid w:val="009D2C19"/>
    <w:rsid w:val="009D2F36"/>
    <w:rsid w:val="009D652B"/>
    <w:rsid w:val="009D77DA"/>
    <w:rsid w:val="009E0F54"/>
    <w:rsid w:val="009E14D1"/>
    <w:rsid w:val="009E5C0B"/>
    <w:rsid w:val="009E66CC"/>
    <w:rsid w:val="009E6720"/>
    <w:rsid w:val="009E686C"/>
    <w:rsid w:val="009F0C3C"/>
    <w:rsid w:val="009F1C7C"/>
    <w:rsid w:val="009F1F75"/>
    <w:rsid w:val="009F21C4"/>
    <w:rsid w:val="009F44B8"/>
    <w:rsid w:val="009F4937"/>
    <w:rsid w:val="009F5768"/>
    <w:rsid w:val="009F7434"/>
    <w:rsid w:val="00A00F83"/>
    <w:rsid w:val="00A017C2"/>
    <w:rsid w:val="00A018B7"/>
    <w:rsid w:val="00A04685"/>
    <w:rsid w:val="00A07587"/>
    <w:rsid w:val="00A1037D"/>
    <w:rsid w:val="00A10C07"/>
    <w:rsid w:val="00A1189A"/>
    <w:rsid w:val="00A132F2"/>
    <w:rsid w:val="00A1376F"/>
    <w:rsid w:val="00A13EC6"/>
    <w:rsid w:val="00A141F1"/>
    <w:rsid w:val="00A1481E"/>
    <w:rsid w:val="00A160E1"/>
    <w:rsid w:val="00A165BC"/>
    <w:rsid w:val="00A16F4F"/>
    <w:rsid w:val="00A20CD3"/>
    <w:rsid w:val="00A21537"/>
    <w:rsid w:val="00A2173B"/>
    <w:rsid w:val="00A21CA2"/>
    <w:rsid w:val="00A21CB0"/>
    <w:rsid w:val="00A220A0"/>
    <w:rsid w:val="00A22953"/>
    <w:rsid w:val="00A245A1"/>
    <w:rsid w:val="00A25589"/>
    <w:rsid w:val="00A272DD"/>
    <w:rsid w:val="00A31CF4"/>
    <w:rsid w:val="00A31E6A"/>
    <w:rsid w:val="00A322E5"/>
    <w:rsid w:val="00A337A1"/>
    <w:rsid w:val="00A364F9"/>
    <w:rsid w:val="00A36F26"/>
    <w:rsid w:val="00A40488"/>
    <w:rsid w:val="00A40591"/>
    <w:rsid w:val="00A409E1"/>
    <w:rsid w:val="00A41641"/>
    <w:rsid w:val="00A41E30"/>
    <w:rsid w:val="00A423C7"/>
    <w:rsid w:val="00A42B6E"/>
    <w:rsid w:val="00A42D3F"/>
    <w:rsid w:val="00A45473"/>
    <w:rsid w:val="00A45F7E"/>
    <w:rsid w:val="00A46A20"/>
    <w:rsid w:val="00A52344"/>
    <w:rsid w:val="00A53516"/>
    <w:rsid w:val="00A53FF7"/>
    <w:rsid w:val="00A5586D"/>
    <w:rsid w:val="00A56310"/>
    <w:rsid w:val="00A60CB8"/>
    <w:rsid w:val="00A610B2"/>
    <w:rsid w:val="00A62BA3"/>
    <w:rsid w:val="00A6411C"/>
    <w:rsid w:val="00A64AE5"/>
    <w:rsid w:val="00A67628"/>
    <w:rsid w:val="00A70926"/>
    <w:rsid w:val="00A71C6B"/>
    <w:rsid w:val="00A746B2"/>
    <w:rsid w:val="00A7501E"/>
    <w:rsid w:val="00A7722F"/>
    <w:rsid w:val="00A77587"/>
    <w:rsid w:val="00A77E72"/>
    <w:rsid w:val="00A812CB"/>
    <w:rsid w:val="00A82EFA"/>
    <w:rsid w:val="00A83BC4"/>
    <w:rsid w:val="00A84222"/>
    <w:rsid w:val="00A851F4"/>
    <w:rsid w:val="00A863EA"/>
    <w:rsid w:val="00A86652"/>
    <w:rsid w:val="00A8783D"/>
    <w:rsid w:val="00A9193A"/>
    <w:rsid w:val="00A92DB1"/>
    <w:rsid w:val="00A952D3"/>
    <w:rsid w:val="00A955A3"/>
    <w:rsid w:val="00A95C9B"/>
    <w:rsid w:val="00A95EE6"/>
    <w:rsid w:val="00A97477"/>
    <w:rsid w:val="00AA0CF8"/>
    <w:rsid w:val="00AA1C82"/>
    <w:rsid w:val="00AA2C37"/>
    <w:rsid w:val="00AA3262"/>
    <w:rsid w:val="00AA4140"/>
    <w:rsid w:val="00AA453B"/>
    <w:rsid w:val="00AA4A25"/>
    <w:rsid w:val="00AA4AA3"/>
    <w:rsid w:val="00AA5179"/>
    <w:rsid w:val="00AA51B5"/>
    <w:rsid w:val="00AA7E0D"/>
    <w:rsid w:val="00AB05F9"/>
    <w:rsid w:val="00AB1EEC"/>
    <w:rsid w:val="00AB3C9A"/>
    <w:rsid w:val="00AB4597"/>
    <w:rsid w:val="00AB5A32"/>
    <w:rsid w:val="00AB5D64"/>
    <w:rsid w:val="00AB67FE"/>
    <w:rsid w:val="00AB6A8E"/>
    <w:rsid w:val="00AB6C58"/>
    <w:rsid w:val="00AB7009"/>
    <w:rsid w:val="00AB7F36"/>
    <w:rsid w:val="00AC0F87"/>
    <w:rsid w:val="00AC101F"/>
    <w:rsid w:val="00AC1276"/>
    <w:rsid w:val="00AC38CE"/>
    <w:rsid w:val="00AC41BC"/>
    <w:rsid w:val="00AC4E9F"/>
    <w:rsid w:val="00AC4FDD"/>
    <w:rsid w:val="00AC703E"/>
    <w:rsid w:val="00AC7573"/>
    <w:rsid w:val="00AD2196"/>
    <w:rsid w:val="00AD352C"/>
    <w:rsid w:val="00AD49EC"/>
    <w:rsid w:val="00AD5EC4"/>
    <w:rsid w:val="00AD60BD"/>
    <w:rsid w:val="00AE19F2"/>
    <w:rsid w:val="00AE1A67"/>
    <w:rsid w:val="00AE1FD5"/>
    <w:rsid w:val="00AE2F13"/>
    <w:rsid w:val="00AE30DA"/>
    <w:rsid w:val="00AE39DD"/>
    <w:rsid w:val="00AE3B0C"/>
    <w:rsid w:val="00AE4AF7"/>
    <w:rsid w:val="00AE7DE2"/>
    <w:rsid w:val="00AF149A"/>
    <w:rsid w:val="00AF46E2"/>
    <w:rsid w:val="00AF5A19"/>
    <w:rsid w:val="00AF62AD"/>
    <w:rsid w:val="00AF79A1"/>
    <w:rsid w:val="00AF7D1B"/>
    <w:rsid w:val="00B007E1"/>
    <w:rsid w:val="00B02391"/>
    <w:rsid w:val="00B03C5C"/>
    <w:rsid w:val="00B05B74"/>
    <w:rsid w:val="00B06A52"/>
    <w:rsid w:val="00B06AAC"/>
    <w:rsid w:val="00B07149"/>
    <w:rsid w:val="00B07163"/>
    <w:rsid w:val="00B136CA"/>
    <w:rsid w:val="00B14683"/>
    <w:rsid w:val="00B1495A"/>
    <w:rsid w:val="00B153A8"/>
    <w:rsid w:val="00B176D6"/>
    <w:rsid w:val="00B17849"/>
    <w:rsid w:val="00B17C1D"/>
    <w:rsid w:val="00B21D77"/>
    <w:rsid w:val="00B22249"/>
    <w:rsid w:val="00B2236D"/>
    <w:rsid w:val="00B225AD"/>
    <w:rsid w:val="00B22E78"/>
    <w:rsid w:val="00B235FE"/>
    <w:rsid w:val="00B23E2F"/>
    <w:rsid w:val="00B2447B"/>
    <w:rsid w:val="00B24A0B"/>
    <w:rsid w:val="00B250F9"/>
    <w:rsid w:val="00B2570B"/>
    <w:rsid w:val="00B2611D"/>
    <w:rsid w:val="00B26BEE"/>
    <w:rsid w:val="00B3033C"/>
    <w:rsid w:val="00B3160A"/>
    <w:rsid w:val="00B32993"/>
    <w:rsid w:val="00B33771"/>
    <w:rsid w:val="00B33942"/>
    <w:rsid w:val="00B33C56"/>
    <w:rsid w:val="00B342BC"/>
    <w:rsid w:val="00B355D2"/>
    <w:rsid w:val="00B36B0C"/>
    <w:rsid w:val="00B3707D"/>
    <w:rsid w:val="00B37475"/>
    <w:rsid w:val="00B403E8"/>
    <w:rsid w:val="00B4106E"/>
    <w:rsid w:val="00B41C9D"/>
    <w:rsid w:val="00B41CBA"/>
    <w:rsid w:val="00B4268B"/>
    <w:rsid w:val="00B458EC"/>
    <w:rsid w:val="00B47A8F"/>
    <w:rsid w:val="00B51CDF"/>
    <w:rsid w:val="00B52886"/>
    <w:rsid w:val="00B541F5"/>
    <w:rsid w:val="00B557C1"/>
    <w:rsid w:val="00B55FF7"/>
    <w:rsid w:val="00B5715A"/>
    <w:rsid w:val="00B57F98"/>
    <w:rsid w:val="00B60677"/>
    <w:rsid w:val="00B62DD9"/>
    <w:rsid w:val="00B64125"/>
    <w:rsid w:val="00B70ACC"/>
    <w:rsid w:val="00B71B4B"/>
    <w:rsid w:val="00B726C4"/>
    <w:rsid w:val="00B75FAD"/>
    <w:rsid w:val="00B7610D"/>
    <w:rsid w:val="00B848D1"/>
    <w:rsid w:val="00B84964"/>
    <w:rsid w:val="00B84B6B"/>
    <w:rsid w:val="00B84E92"/>
    <w:rsid w:val="00B86459"/>
    <w:rsid w:val="00B9080B"/>
    <w:rsid w:val="00B91AEC"/>
    <w:rsid w:val="00B922E8"/>
    <w:rsid w:val="00B9297E"/>
    <w:rsid w:val="00B92CA6"/>
    <w:rsid w:val="00B93EC5"/>
    <w:rsid w:val="00B945D8"/>
    <w:rsid w:val="00B95612"/>
    <w:rsid w:val="00B9618F"/>
    <w:rsid w:val="00B97A6F"/>
    <w:rsid w:val="00BA0C84"/>
    <w:rsid w:val="00BA0E35"/>
    <w:rsid w:val="00BA1B3A"/>
    <w:rsid w:val="00BA3C5D"/>
    <w:rsid w:val="00BA5018"/>
    <w:rsid w:val="00BA6B15"/>
    <w:rsid w:val="00BA7718"/>
    <w:rsid w:val="00BA7E0A"/>
    <w:rsid w:val="00BB0905"/>
    <w:rsid w:val="00BB1B6C"/>
    <w:rsid w:val="00BB3236"/>
    <w:rsid w:val="00BB3426"/>
    <w:rsid w:val="00BB374C"/>
    <w:rsid w:val="00BB3BC9"/>
    <w:rsid w:val="00BB416B"/>
    <w:rsid w:val="00BB442E"/>
    <w:rsid w:val="00BB4A89"/>
    <w:rsid w:val="00BB4E1F"/>
    <w:rsid w:val="00BB4F21"/>
    <w:rsid w:val="00BB526C"/>
    <w:rsid w:val="00BB7868"/>
    <w:rsid w:val="00BC13FA"/>
    <w:rsid w:val="00BC19DE"/>
    <w:rsid w:val="00BC1A09"/>
    <w:rsid w:val="00BC315D"/>
    <w:rsid w:val="00BC37DC"/>
    <w:rsid w:val="00BC525D"/>
    <w:rsid w:val="00BC54E5"/>
    <w:rsid w:val="00BC7E5B"/>
    <w:rsid w:val="00BD16C8"/>
    <w:rsid w:val="00BD1EFA"/>
    <w:rsid w:val="00BD2319"/>
    <w:rsid w:val="00BD26D9"/>
    <w:rsid w:val="00BD2D9A"/>
    <w:rsid w:val="00BD495F"/>
    <w:rsid w:val="00BD50B8"/>
    <w:rsid w:val="00BD5270"/>
    <w:rsid w:val="00BD6560"/>
    <w:rsid w:val="00BD679F"/>
    <w:rsid w:val="00BD7C80"/>
    <w:rsid w:val="00BD7D3F"/>
    <w:rsid w:val="00BE30FA"/>
    <w:rsid w:val="00BE4994"/>
    <w:rsid w:val="00BE72E9"/>
    <w:rsid w:val="00BF0EE7"/>
    <w:rsid w:val="00BF14B9"/>
    <w:rsid w:val="00BF1768"/>
    <w:rsid w:val="00BF2345"/>
    <w:rsid w:val="00BF2562"/>
    <w:rsid w:val="00BF29F8"/>
    <w:rsid w:val="00BF315A"/>
    <w:rsid w:val="00BF316A"/>
    <w:rsid w:val="00BF4965"/>
    <w:rsid w:val="00BF518E"/>
    <w:rsid w:val="00BF6F57"/>
    <w:rsid w:val="00C0121C"/>
    <w:rsid w:val="00C0223D"/>
    <w:rsid w:val="00C0236A"/>
    <w:rsid w:val="00C0322A"/>
    <w:rsid w:val="00C03530"/>
    <w:rsid w:val="00C03EA1"/>
    <w:rsid w:val="00C059BF"/>
    <w:rsid w:val="00C062B3"/>
    <w:rsid w:val="00C0683C"/>
    <w:rsid w:val="00C06998"/>
    <w:rsid w:val="00C06BE3"/>
    <w:rsid w:val="00C111C5"/>
    <w:rsid w:val="00C12195"/>
    <w:rsid w:val="00C1285C"/>
    <w:rsid w:val="00C13F52"/>
    <w:rsid w:val="00C17982"/>
    <w:rsid w:val="00C20661"/>
    <w:rsid w:val="00C21587"/>
    <w:rsid w:val="00C216A7"/>
    <w:rsid w:val="00C2255F"/>
    <w:rsid w:val="00C246BF"/>
    <w:rsid w:val="00C25D87"/>
    <w:rsid w:val="00C2671F"/>
    <w:rsid w:val="00C26D64"/>
    <w:rsid w:val="00C26FAC"/>
    <w:rsid w:val="00C309EC"/>
    <w:rsid w:val="00C33D0E"/>
    <w:rsid w:val="00C34B9B"/>
    <w:rsid w:val="00C36701"/>
    <w:rsid w:val="00C37805"/>
    <w:rsid w:val="00C41CC8"/>
    <w:rsid w:val="00C423B4"/>
    <w:rsid w:val="00C424BF"/>
    <w:rsid w:val="00C42A23"/>
    <w:rsid w:val="00C4424E"/>
    <w:rsid w:val="00C44FEC"/>
    <w:rsid w:val="00C46BB8"/>
    <w:rsid w:val="00C46D6A"/>
    <w:rsid w:val="00C50013"/>
    <w:rsid w:val="00C505D6"/>
    <w:rsid w:val="00C51DDE"/>
    <w:rsid w:val="00C53473"/>
    <w:rsid w:val="00C536B5"/>
    <w:rsid w:val="00C540E8"/>
    <w:rsid w:val="00C567A5"/>
    <w:rsid w:val="00C5688E"/>
    <w:rsid w:val="00C5786F"/>
    <w:rsid w:val="00C57D17"/>
    <w:rsid w:val="00C62145"/>
    <w:rsid w:val="00C62A9B"/>
    <w:rsid w:val="00C62BC5"/>
    <w:rsid w:val="00C635C5"/>
    <w:rsid w:val="00C65FE7"/>
    <w:rsid w:val="00C668DF"/>
    <w:rsid w:val="00C6740E"/>
    <w:rsid w:val="00C678AE"/>
    <w:rsid w:val="00C7089A"/>
    <w:rsid w:val="00C72A91"/>
    <w:rsid w:val="00C730E4"/>
    <w:rsid w:val="00C7503B"/>
    <w:rsid w:val="00C753E5"/>
    <w:rsid w:val="00C76E82"/>
    <w:rsid w:val="00C80521"/>
    <w:rsid w:val="00C82274"/>
    <w:rsid w:val="00C82C6E"/>
    <w:rsid w:val="00C831BA"/>
    <w:rsid w:val="00C83CC4"/>
    <w:rsid w:val="00C84671"/>
    <w:rsid w:val="00C85568"/>
    <w:rsid w:val="00C85648"/>
    <w:rsid w:val="00C86CDA"/>
    <w:rsid w:val="00C86F30"/>
    <w:rsid w:val="00C878DE"/>
    <w:rsid w:val="00C87DD4"/>
    <w:rsid w:val="00C90034"/>
    <w:rsid w:val="00C91221"/>
    <w:rsid w:val="00C91F83"/>
    <w:rsid w:val="00C93A13"/>
    <w:rsid w:val="00C96836"/>
    <w:rsid w:val="00C97795"/>
    <w:rsid w:val="00CA0EA4"/>
    <w:rsid w:val="00CA27FC"/>
    <w:rsid w:val="00CA315E"/>
    <w:rsid w:val="00CA3AB2"/>
    <w:rsid w:val="00CA55EA"/>
    <w:rsid w:val="00CA6417"/>
    <w:rsid w:val="00CA6D2A"/>
    <w:rsid w:val="00CA7179"/>
    <w:rsid w:val="00CA7B23"/>
    <w:rsid w:val="00CB3E0A"/>
    <w:rsid w:val="00CB4B9F"/>
    <w:rsid w:val="00CB6102"/>
    <w:rsid w:val="00CB7C88"/>
    <w:rsid w:val="00CC06AE"/>
    <w:rsid w:val="00CC22F2"/>
    <w:rsid w:val="00CC2D97"/>
    <w:rsid w:val="00CC3551"/>
    <w:rsid w:val="00CC363D"/>
    <w:rsid w:val="00CC5344"/>
    <w:rsid w:val="00CC63FD"/>
    <w:rsid w:val="00CD726D"/>
    <w:rsid w:val="00CD79A7"/>
    <w:rsid w:val="00CE0778"/>
    <w:rsid w:val="00CE090E"/>
    <w:rsid w:val="00CE0F04"/>
    <w:rsid w:val="00CE3A3A"/>
    <w:rsid w:val="00CE58D9"/>
    <w:rsid w:val="00CE5EB3"/>
    <w:rsid w:val="00CE65E9"/>
    <w:rsid w:val="00CE7098"/>
    <w:rsid w:val="00CF02ED"/>
    <w:rsid w:val="00CF196B"/>
    <w:rsid w:val="00CF29EA"/>
    <w:rsid w:val="00CF764D"/>
    <w:rsid w:val="00D0161C"/>
    <w:rsid w:val="00D048E7"/>
    <w:rsid w:val="00D04C19"/>
    <w:rsid w:val="00D121D1"/>
    <w:rsid w:val="00D12685"/>
    <w:rsid w:val="00D1378A"/>
    <w:rsid w:val="00D13C0D"/>
    <w:rsid w:val="00D13EDC"/>
    <w:rsid w:val="00D14B4F"/>
    <w:rsid w:val="00D160D8"/>
    <w:rsid w:val="00D17010"/>
    <w:rsid w:val="00D20486"/>
    <w:rsid w:val="00D20632"/>
    <w:rsid w:val="00D20B9A"/>
    <w:rsid w:val="00D2108E"/>
    <w:rsid w:val="00D27029"/>
    <w:rsid w:val="00D2762E"/>
    <w:rsid w:val="00D31885"/>
    <w:rsid w:val="00D3328B"/>
    <w:rsid w:val="00D33717"/>
    <w:rsid w:val="00D354AD"/>
    <w:rsid w:val="00D413AB"/>
    <w:rsid w:val="00D41FA9"/>
    <w:rsid w:val="00D44034"/>
    <w:rsid w:val="00D45D1D"/>
    <w:rsid w:val="00D504BD"/>
    <w:rsid w:val="00D50FA2"/>
    <w:rsid w:val="00D51020"/>
    <w:rsid w:val="00D52276"/>
    <w:rsid w:val="00D52B27"/>
    <w:rsid w:val="00D53331"/>
    <w:rsid w:val="00D53D35"/>
    <w:rsid w:val="00D54333"/>
    <w:rsid w:val="00D54B70"/>
    <w:rsid w:val="00D55BB2"/>
    <w:rsid w:val="00D5709D"/>
    <w:rsid w:val="00D60CB7"/>
    <w:rsid w:val="00D62D0D"/>
    <w:rsid w:val="00D633B5"/>
    <w:rsid w:val="00D63783"/>
    <w:rsid w:val="00D63BB8"/>
    <w:rsid w:val="00D64197"/>
    <w:rsid w:val="00D64CA7"/>
    <w:rsid w:val="00D663F2"/>
    <w:rsid w:val="00D701D4"/>
    <w:rsid w:val="00D70CCF"/>
    <w:rsid w:val="00D7463A"/>
    <w:rsid w:val="00D74BC7"/>
    <w:rsid w:val="00D76699"/>
    <w:rsid w:val="00D76C2A"/>
    <w:rsid w:val="00D812EA"/>
    <w:rsid w:val="00D829C3"/>
    <w:rsid w:val="00D8423E"/>
    <w:rsid w:val="00D843AB"/>
    <w:rsid w:val="00D84BEF"/>
    <w:rsid w:val="00D8640A"/>
    <w:rsid w:val="00D90158"/>
    <w:rsid w:val="00D90E48"/>
    <w:rsid w:val="00D9114A"/>
    <w:rsid w:val="00D91798"/>
    <w:rsid w:val="00D92073"/>
    <w:rsid w:val="00D93756"/>
    <w:rsid w:val="00D938D6"/>
    <w:rsid w:val="00D96537"/>
    <w:rsid w:val="00DA0642"/>
    <w:rsid w:val="00DA1263"/>
    <w:rsid w:val="00DA196D"/>
    <w:rsid w:val="00DA2F98"/>
    <w:rsid w:val="00DA46A1"/>
    <w:rsid w:val="00DA4870"/>
    <w:rsid w:val="00DA5FF3"/>
    <w:rsid w:val="00DA73DF"/>
    <w:rsid w:val="00DB015D"/>
    <w:rsid w:val="00DB274A"/>
    <w:rsid w:val="00DB27B8"/>
    <w:rsid w:val="00DB58C7"/>
    <w:rsid w:val="00DB635E"/>
    <w:rsid w:val="00DB703A"/>
    <w:rsid w:val="00DB7387"/>
    <w:rsid w:val="00DB746B"/>
    <w:rsid w:val="00DC1446"/>
    <w:rsid w:val="00DC19F8"/>
    <w:rsid w:val="00DC217E"/>
    <w:rsid w:val="00DC2F3D"/>
    <w:rsid w:val="00DC3D3B"/>
    <w:rsid w:val="00DC7CBC"/>
    <w:rsid w:val="00DD016C"/>
    <w:rsid w:val="00DD287F"/>
    <w:rsid w:val="00DD5508"/>
    <w:rsid w:val="00DE0980"/>
    <w:rsid w:val="00DE1164"/>
    <w:rsid w:val="00DE1361"/>
    <w:rsid w:val="00DE18E9"/>
    <w:rsid w:val="00DE2072"/>
    <w:rsid w:val="00DE2220"/>
    <w:rsid w:val="00DE312D"/>
    <w:rsid w:val="00DE4247"/>
    <w:rsid w:val="00DE44C6"/>
    <w:rsid w:val="00DE4B97"/>
    <w:rsid w:val="00DE550B"/>
    <w:rsid w:val="00DE60BE"/>
    <w:rsid w:val="00DF4888"/>
    <w:rsid w:val="00DF4CD6"/>
    <w:rsid w:val="00DF543F"/>
    <w:rsid w:val="00DF561C"/>
    <w:rsid w:val="00DF5C7F"/>
    <w:rsid w:val="00DF6497"/>
    <w:rsid w:val="00DF6776"/>
    <w:rsid w:val="00DF6834"/>
    <w:rsid w:val="00DF743A"/>
    <w:rsid w:val="00E01E17"/>
    <w:rsid w:val="00E0288C"/>
    <w:rsid w:val="00E0696A"/>
    <w:rsid w:val="00E07DB3"/>
    <w:rsid w:val="00E10DC6"/>
    <w:rsid w:val="00E1139A"/>
    <w:rsid w:val="00E14BA5"/>
    <w:rsid w:val="00E16F2D"/>
    <w:rsid w:val="00E1719D"/>
    <w:rsid w:val="00E17AFD"/>
    <w:rsid w:val="00E203DB"/>
    <w:rsid w:val="00E219A4"/>
    <w:rsid w:val="00E21E56"/>
    <w:rsid w:val="00E224DC"/>
    <w:rsid w:val="00E25723"/>
    <w:rsid w:val="00E259E6"/>
    <w:rsid w:val="00E26445"/>
    <w:rsid w:val="00E3261C"/>
    <w:rsid w:val="00E353B3"/>
    <w:rsid w:val="00E3566F"/>
    <w:rsid w:val="00E35DA1"/>
    <w:rsid w:val="00E36463"/>
    <w:rsid w:val="00E36C72"/>
    <w:rsid w:val="00E40B56"/>
    <w:rsid w:val="00E4113E"/>
    <w:rsid w:val="00E43F65"/>
    <w:rsid w:val="00E447D8"/>
    <w:rsid w:val="00E457EE"/>
    <w:rsid w:val="00E50D2C"/>
    <w:rsid w:val="00E50F89"/>
    <w:rsid w:val="00E52256"/>
    <w:rsid w:val="00E53227"/>
    <w:rsid w:val="00E5391F"/>
    <w:rsid w:val="00E54BEB"/>
    <w:rsid w:val="00E54D1D"/>
    <w:rsid w:val="00E552D5"/>
    <w:rsid w:val="00E626C7"/>
    <w:rsid w:val="00E62C80"/>
    <w:rsid w:val="00E6368F"/>
    <w:rsid w:val="00E6790B"/>
    <w:rsid w:val="00E7226C"/>
    <w:rsid w:val="00E72EE8"/>
    <w:rsid w:val="00E750C6"/>
    <w:rsid w:val="00E779C9"/>
    <w:rsid w:val="00E77C17"/>
    <w:rsid w:val="00E80532"/>
    <w:rsid w:val="00E8195B"/>
    <w:rsid w:val="00E822A9"/>
    <w:rsid w:val="00E824B5"/>
    <w:rsid w:val="00E82892"/>
    <w:rsid w:val="00E829D7"/>
    <w:rsid w:val="00E833D8"/>
    <w:rsid w:val="00E8380B"/>
    <w:rsid w:val="00E8398A"/>
    <w:rsid w:val="00E83A26"/>
    <w:rsid w:val="00E87194"/>
    <w:rsid w:val="00E87B0F"/>
    <w:rsid w:val="00E87BBC"/>
    <w:rsid w:val="00E93C5F"/>
    <w:rsid w:val="00E94FE2"/>
    <w:rsid w:val="00E9526A"/>
    <w:rsid w:val="00E95BCC"/>
    <w:rsid w:val="00EA0501"/>
    <w:rsid w:val="00EA0DB4"/>
    <w:rsid w:val="00EA12E3"/>
    <w:rsid w:val="00EA22DA"/>
    <w:rsid w:val="00EA23A4"/>
    <w:rsid w:val="00EA246A"/>
    <w:rsid w:val="00EA26A7"/>
    <w:rsid w:val="00EA2A30"/>
    <w:rsid w:val="00EA3698"/>
    <w:rsid w:val="00EA41AD"/>
    <w:rsid w:val="00EA4808"/>
    <w:rsid w:val="00EA4EE4"/>
    <w:rsid w:val="00EA5D95"/>
    <w:rsid w:val="00EA7691"/>
    <w:rsid w:val="00EB0FF7"/>
    <w:rsid w:val="00EB11E6"/>
    <w:rsid w:val="00EB17DC"/>
    <w:rsid w:val="00EB3035"/>
    <w:rsid w:val="00EB4308"/>
    <w:rsid w:val="00EB5425"/>
    <w:rsid w:val="00EB57CA"/>
    <w:rsid w:val="00EB7BD8"/>
    <w:rsid w:val="00EC01FC"/>
    <w:rsid w:val="00EC0464"/>
    <w:rsid w:val="00EC0CB7"/>
    <w:rsid w:val="00EC2F6A"/>
    <w:rsid w:val="00EC3129"/>
    <w:rsid w:val="00EC4820"/>
    <w:rsid w:val="00EC5237"/>
    <w:rsid w:val="00EC75D1"/>
    <w:rsid w:val="00ED0089"/>
    <w:rsid w:val="00ED1394"/>
    <w:rsid w:val="00ED19C0"/>
    <w:rsid w:val="00ED3AA5"/>
    <w:rsid w:val="00ED3AB6"/>
    <w:rsid w:val="00ED446A"/>
    <w:rsid w:val="00ED50CC"/>
    <w:rsid w:val="00ED523D"/>
    <w:rsid w:val="00ED6695"/>
    <w:rsid w:val="00ED6F06"/>
    <w:rsid w:val="00ED6FA0"/>
    <w:rsid w:val="00ED71E7"/>
    <w:rsid w:val="00ED73D2"/>
    <w:rsid w:val="00EE2E6D"/>
    <w:rsid w:val="00EE34FD"/>
    <w:rsid w:val="00EE4636"/>
    <w:rsid w:val="00EE4739"/>
    <w:rsid w:val="00EE5DD0"/>
    <w:rsid w:val="00EE74EA"/>
    <w:rsid w:val="00EE74FD"/>
    <w:rsid w:val="00EF15C9"/>
    <w:rsid w:val="00EF37AC"/>
    <w:rsid w:val="00EF4AE0"/>
    <w:rsid w:val="00EF4DCF"/>
    <w:rsid w:val="00EF5960"/>
    <w:rsid w:val="00EF65AE"/>
    <w:rsid w:val="00EF7290"/>
    <w:rsid w:val="00EF7615"/>
    <w:rsid w:val="00F00EA9"/>
    <w:rsid w:val="00F06E2F"/>
    <w:rsid w:val="00F104E3"/>
    <w:rsid w:val="00F116D6"/>
    <w:rsid w:val="00F12F79"/>
    <w:rsid w:val="00F1455C"/>
    <w:rsid w:val="00F14C8B"/>
    <w:rsid w:val="00F1751E"/>
    <w:rsid w:val="00F17829"/>
    <w:rsid w:val="00F21001"/>
    <w:rsid w:val="00F2525E"/>
    <w:rsid w:val="00F26895"/>
    <w:rsid w:val="00F307E7"/>
    <w:rsid w:val="00F31576"/>
    <w:rsid w:val="00F34196"/>
    <w:rsid w:val="00F35E43"/>
    <w:rsid w:val="00F36B9B"/>
    <w:rsid w:val="00F37469"/>
    <w:rsid w:val="00F37C32"/>
    <w:rsid w:val="00F402E0"/>
    <w:rsid w:val="00F4202E"/>
    <w:rsid w:val="00F42CE6"/>
    <w:rsid w:val="00F43009"/>
    <w:rsid w:val="00F4431C"/>
    <w:rsid w:val="00F445B1"/>
    <w:rsid w:val="00F45500"/>
    <w:rsid w:val="00F45D08"/>
    <w:rsid w:val="00F51DC9"/>
    <w:rsid w:val="00F546CF"/>
    <w:rsid w:val="00F553E6"/>
    <w:rsid w:val="00F5563F"/>
    <w:rsid w:val="00F55679"/>
    <w:rsid w:val="00F56991"/>
    <w:rsid w:val="00F56C32"/>
    <w:rsid w:val="00F57C8A"/>
    <w:rsid w:val="00F57CDF"/>
    <w:rsid w:val="00F60C0F"/>
    <w:rsid w:val="00F61795"/>
    <w:rsid w:val="00F63E5C"/>
    <w:rsid w:val="00F6450F"/>
    <w:rsid w:val="00F6528F"/>
    <w:rsid w:val="00F6559D"/>
    <w:rsid w:val="00F66B0A"/>
    <w:rsid w:val="00F70F38"/>
    <w:rsid w:val="00F7107C"/>
    <w:rsid w:val="00F72854"/>
    <w:rsid w:val="00F72B18"/>
    <w:rsid w:val="00F73BD1"/>
    <w:rsid w:val="00F73C7F"/>
    <w:rsid w:val="00F73DA2"/>
    <w:rsid w:val="00F7471D"/>
    <w:rsid w:val="00F7474D"/>
    <w:rsid w:val="00F74BFD"/>
    <w:rsid w:val="00F74F27"/>
    <w:rsid w:val="00F756DF"/>
    <w:rsid w:val="00F818F5"/>
    <w:rsid w:val="00F8251D"/>
    <w:rsid w:val="00F82A44"/>
    <w:rsid w:val="00F83046"/>
    <w:rsid w:val="00F836FA"/>
    <w:rsid w:val="00F84CB9"/>
    <w:rsid w:val="00F86408"/>
    <w:rsid w:val="00F90455"/>
    <w:rsid w:val="00F95FE7"/>
    <w:rsid w:val="00F97B18"/>
    <w:rsid w:val="00FA0347"/>
    <w:rsid w:val="00FA15E6"/>
    <w:rsid w:val="00FA3171"/>
    <w:rsid w:val="00FA6187"/>
    <w:rsid w:val="00FA7510"/>
    <w:rsid w:val="00FA7852"/>
    <w:rsid w:val="00FB13CE"/>
    <w:rsid w:val="00FB23C0"/>
    <w:rsid w:val="00FB38F0"/>
    <w:rsid w:val="00FB39FA"/>
    <w:rsid w:val="00FB59F9"/>
    <w:rsid w:val="00FB641F"/>
    <w:rsid w:val="00FB69D3"/>
    <w:rsid w:val="00FB7051"/>
    <w:rsid w:val="00FC0DDF"/>
    <w:rsid w:val="00FC2AE2"/>
    <w:rsid w:val="00FC31B5"/>
    <w:rsid w:val="00FC36D3"/>
    <w:rsid w:val="00FC3E55"/>
    <w:rsid w:val="00FC4AA9"/>
    <w:rsid w:val="00FC4B43"/>
    <w:rsid w:val="00FC6B44"/>
    <w:rsid w:val="00FD05C0"/>
    <w:rsid w:val="00FD26B3"/>
    <w:rsid w:val="00FD3147"/>
    <w:rsid w:val="00FD37B2"/>
    <w:rsid w:val="00FD751B"/>
    <w:rsid w:val="00FE09F4"/>
    <w:rsid w:val="00FE15A7"/>
    <w:rsid w:val="00FE2851"/>
    <w:rsid w:val="00FE2B4D"/>
    <w:rsid w:val="00FE2D5D"/>
    <w:rsid w:val="00FE2F1B"/>
    <w:rsid w:val="00FE36AE"/>
    <w:rsid w:val="00FE385C"/>
    <w:rsid w:val="00FE538B"/>
    <w:rsid w:val="00FE76D2"/>
    <w:rsid w:val="00FF0905"/>
    <w:rsid w:val="00FF0C44"/>
    <w:rsid w:val="00FF2DE8"/>
    <w:rsid w:val="00FF5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0D22"/>
  <w15:docId w15:val="{0016A3CF-4EB0-4C43-8EBD-EA4A67BF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15"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qFormat/>
    <w:rsid w:val="00463059"/>
    <w:pPr>
      <w:spacing w:before="120" w:after="120" w:line="240" w:lineRule="auto"/>
      <w:jc w:val="both"/>
    </w:pPr>
  </w:style>
  <w:style w:type="paragraph" w:styleId="Heading1">
    <w:name w:val="heading 1"/>
    <w:basedOn w:val="Normal"/>
    <w:next w:val="Normal"/>
    <w:link w:val="Heading1Char"/>
    <w:uiPriority w:val="99"/>
    <w:qFormat/>
    <w:rsid w:val="00887132"/>
    <w:pPr>
      <w:pageBreakBefore/>
      <w:spacing w:after="240"/>
      <w:jc w:val="left"/>
      <w:outlineLvl w:val="0"/>
    </w:pPr>
    <w:rPr>
      <w:rFonts w:eastAsia="Times New Roman" w:cs="Times New Roman"/>
      <w:b/>
      <w:color w:val="32746D"/>
      <w:sz w:val="32"/>
      <w:szCs w:val="32"/>
      <w:u w:color="00B050"/>
    </w:rPr>
  </w:style>
  <w:style w:type="paragraph" w:styleId="Heading2">
    <w:name w:val="heading 2"/>
    <w:basedOn w:val="Normal"/>
    <w:next w:val="Normal"/>
    <w:link w:val="Heading2Char"/>
    <w:uiPriority w:val="99"/>
    <w:unhideWhenUsed/>
    <w:qFormat/>
    <w:rsid w:val="004C6ABA"/>
    <w:pPr>
      <w:spacing w:before="240"/>
      <w:jc w:val="left"/>
      <w:outlineLvl w:val="1"/>
    </w:pPr>
    <w:rPr>
      <w:b/>
      <w:color w:val="32746D"/>
      <w:sz w:val="28"/>
      <w:szCs w:val="32"/>
    </w:rPr>
  </w:style>
  <w:style w:type="paragraph" w:styleId="Heading3">
    <w:name w:val="heading 3"/>
    <w:basedOn w:val="Normal"/>
    <w:next w:val="Normal"/>
    <w:link w:val="Heading3Char"/>
    <w:uiPriority w:val="99"/>
    <w:unhideWhenUsed/>
    <w:qFormat/>
    <w:rsid w:val="004C6ABA"/>
    <w:pPr>
      <w:keepNext/>
      <w:keepLines/>
      <w:spacing w:before="240" w:after="240"/>
      <w:jc w:val="left"/>
      <w:outlineLvl w:val="2"/>
    </w:pPr>
    <w:rPr>
      <w:rFonts w:eastAsiaTheme="majorEastAsia" w:cs="Tahoma"/>
      <w:b/>
      <w:bCs/>
      <w:color w:val="32746D"/>
      <w:sz w:val="24"/>
      <w:szCs w:val="28"/>
    </w:rPr>
  </w:style>
  <w:style w:type="paragraph" w:styleId="Heading4">
    <w:name w:val="heading 4"/>
    <w:basedOn w:val="Normal"/>
    <w:next w:val="Normal"/>
    <w:link w:val="Heading4Char"/>
    <w:uiPriority w:val="9"/>
    <w:unhideWhenUsed/>
    <w:qFormat/>
    <w:rsid w:val="00A863EA"/>
    <w:pPr>
      <w:keepNext/>
      <w:keepLines/>
      <w:spacing w:before="240" w:after="240"/>
      <w:jc w:val="left"/>
      <w:outlineLvl w:val="3"/>
    </w:pPr>
    <w:rPr>
      <w:rFonts w:eastAsiaTheme="majorEastAsia" w:cs="Tahoma"/>
      <w:b/>
      <w:bCs/>
      <w:iCs/>
      <w:color w:val="76C474"/>
      <w:szCs w:val="24"/>
    </w:rPr>
  </w:style>
  <w:style w:type="paragraph" w:styleId="Heading5">
    <w:name w:val="heading 5"/>
    <w:basedOn w:val="Normal"/>
    <w:next w:val="Normal"/>
    <w:link w:val="Heading5Char"/>
    <w:uiPriority w:val="9"/>
    <w:unhideWhenUsed/>
    <w:qFormat/>
    <w:rsid w:val="006F1428"/>
    <w:pPr>
      <w:spacing w:before="240"/>
      <w:jc w:val="left"/>
      <w:outlineLvl w:val="4"/>
    </w:pPr>
    <w:rPr>
      <w:b/>
      <w:i/>
      <w:color w:val="76C474"/>
      <w:sz w:val="21"/>
      <w:szCs w:val="20"/>
    </w:rPr>
  </w:style>
  <w:style w:type="paragraph" w:styleId="Heading6">
    <w:name w:val="heading 6"/>
    <w:basedOn w:val="Normal"/>
    <w:next w:val="NumberedParagraph"/>
    <w:link w:val="Heading6Char"/>
    <w:uiPriority w:val="9"/>
    <w:unhideWhenUsed/>
    <w:qFormat/>
    <w:rsid w:val="00EA26A7"/>
    <w:pPr>
      <w:spacing w:after="240"/>
      <w:jc w:val="left"/>
      <w:outlineLvl w:val="5"/>
    </w:pPr>
    <w:rPr>
      <w:b/>
      <w:color w:val="44697D"/>
      <w:sz w:val="32"/>
    </w:rPr>
  </w:style>
  <w:style w:type="paragraph" w:styleId="Heading7">
    <w:name w:val="heading 7"/>
    <w:basedOn w:val="Normal"/>
    <w:next w:val="Normal"/>
    <w:link w:val="Heading7Char"/>
    <w:uiPriority w:val="9"/>
    <w:semiHidden/>
    <w:unhideWhenUsed/>
    <w:qFormat/>
    <w:rsid w:val="00C2671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36CB"/>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E36C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68061C"/>
    <w:pPr>
      <w:spacing w:after="0"/>
    </w:pPr>
    <w:rPr>
      <w:color w:val="32746D"/>
      <w:sz w:val="20"/>
    </w:rPr>
  </w:style>
  <w:style w:type="character" w:customStyle="1" w:styleId="HeaderChar">
    <w:name w:val="Header Char"/>
    <w:basedOn w:val="DefaultParagraphFont"/>
    <w:link w:val="Header"/>
    <w:uiPriority w:val="99"/>
    <w:rsid w:val="0068061C"/>
    <w:rPr>
      <w:color w:val="32746D"/>
      <w:sz w:val="20"/>
    </w:rPr>
  </w:style>
  <w:style w:type="paragraph" w:styleId="Footer">
    <w:name w:val="footer"/>
    <w:link w:val="FooterChar"/>
    <w:uiPriority w:val="99"/>
    <w:unhideWhenUsed/>
    <w:qFormat/>
    <w:rsid w:val="0068061C"/>
    <w:pPr>
      <w:tabs>
        <w:tab w:val="right" w:pos="9638"/>
      </w:tabs>
      <w:spacing w:after="0" w:line="240" w:lineRule="auto"/>
    </w:pPr>
    <w:rPr>
      <w:rFonts w:eastAsia="Times New Roman" w:cs="Tahoma"/>
      <w:bCs/>
      <w:color w:val="32746D"/>
      <w:sz w:val="20"/>
      <w:szCs w:val="20"/>
    </w:rPr>
  </w:style>
  <w:style w:type="character" w:customStyle="1" w:styleId="FooterChar">
    <w:name w:val="Footer Char"/>
    <w:basedOn w:val="DefaultParagraphFont"/>
    <w:link w:val="Footer"/>
    <w:uiPriority w:val="99"/>
    <w:rsid w:val="0068061C"/>
    <w:rPr>
      <w:rFonts w:eastAsia="Times New Roman" w:cs="Tahoma"/>
      <w:bCs/>
      <w:color w:val="32746D"/>
      <w:sz w:val="20"/>
      <w:szCs w:val="20"/>
    </w:rPr>
  </w:style>
  <w:style w:type="table" w:styleId="TableGrid">
    <w:name w:val="Table Grid"/>
    <w:aliases w:val="Table Grid CFAA"/>
    <w:basedOn w:val="TableNormal"/>
    <w:uiPriority w:val="39"/>
    <w:rsid w:val="0089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887132"/>
    <w:rPr>
      <w:rFonts w:eastAsia="Times New Roman" w:cs="Times New Roman"/>
      <w:b/>
      <w:color w:val="32746D"/>
      <w:sz w:val="32"/>
      <w:szCs w:val="32"/>
      <w:u w:color="00B050"/>
    </w:rPr>
  </w:style>
  <w:style w:type="character" w:customStyle="1" w:styleId="Heading2Char">
    <w:name w:val="Heading 2 Char"/>
    <w:basedOn w:val="DefaultParagraphFont"/>
    <w:link w:val="Heading2"/>
    <w:uiPriority w:val="99"/>
    <w:rsid w:val="004C6ABA"/>
    <w:rPr>
      <w:b/>
      <w:color w:val="32746D"/>
      <w:sz w:val="28"/>
      <w:szCs w:val="32"/>
    </w:rPr>
  </w:style>
  <w:style w:type="character" w:customStyle="1" w:styleId="Heading3Char">
    <w:name w:val="Heading 3 Char"/>
    <w:basedOn w:val="DefaultParagraphFont"/>
    <w:link w:val="Heading3"/>
    <w:uiPriority w:val="99"/>
    <w:rsid w:val="004C6ABA"/>
    <w:rPr>
      <w:rFonts w:eastAsiaTheme="majorEastAsia" w:cs="Tahoma"/>
      <w:b/>
      <w:bCs/>
      <w:color w:val="32746D"/>
      <w:sz w:val="24"/>
      <w:szCs w:val="28"/>
    </w:rPr>
  </w:style>
  <w:style w:type="character" w:customStyle="1" w:styleId="Heading8Char">
    <w:name w:val="Heading 8 Char"/>
    <w:basedOn w:val="DefaultParagraphFont"/>
    <w:link w:val="Heading8"/>
    <w:uiPriority w:val="9"/>
    <w:semiHidden/>
    <w:rsid w:val="007E36C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7E36CB"/>
    <w:rPr>
      <w:rFonts w:asciiTheme="majorHAnsi" w:eastAsiaTheme="majorEastAsia" w:hAnsiTheme="majorHAnsi" w:cstheme="majorBidi"/>
      <w:i/>
      <w:iCs/>
      <w:color w:val="404040" w:themeColor="text1" w:themeTint="BF"/>
      <w:szCs w:val="20"/>
    </w:rPr>
  </w:style>
  <w:style w:type="paragraph" w:customStyle="1" w:styleId="SectionHeading">
    <w:name w:val="Section Heading"/>
    <w:basedOn w:val="Normal"/>
    <w:uiPriority w:val="16"/>
    <w:qFormat/>
    <w:rsid w:val="00AC0F87"/>
    <w:pPr>
      <w:jc w:val="left"/>
    </w:pPr>
    <w:rPr>
      <w:b/>
      <w:color w:val="32746D"/>
      <w:sz w:val="32"/>
      <w:szCs w:val="32"/>
    </w:rPr>
  </w:style>
  <w:style w:type="character" w:customStyle="1" w:styleId="Heading4Char">
    <w:name w:val="Heading 4 Char"/>
    <w:basedOn w:val="DefaultParagraphFont"/>
    <w:link w:val="Heading4"/>
    <w:uiPriority w:val="9"/>
    <w:rsid w:val="00A863EA"/>
    <w:rPr>
      <w:rFonts w:eastAsiaTheme="majorEastAsia" w:cs="Tahoma"/>
      <w:b/>
      <w:bCs/>
      <w:iCs/>
      <w:color w:val="76C474"/>
      <w:szCs w:val="24"/>
    </w:rPr>
  </w:style>
  <w:style w:type="character" w:customStyle="1" w:styleId="Heading5Char">
    <w:name w:val="Heading 5 Char"/>
    <w:basedOn w:val="DefaultParagraphFont"/>
    <w:link w:val="Heading5"/>
    <w:uiPriority w:val="9"/>
    <w:rsid w:val="006F1428"/>
    <w:rPr>
      <w:b/>
      <w:i/>
      <w:color w:val="76C474"/>
      <w:sz w:val="21"/>
      <w:szCs w:val="20"/>
    </w:rPr>
  </w:style>
  <w:style w:type="character" w:customStyle="1" w:styleId="Heading6Char">
    <w:name w:val="Heading 6 Char"/>
    <w:basedOn w:val="DefaultParagraphFont"/>
    <w:link w:val="Heading6"/>
    <w:uiPriority w:val="9"/>
    <w:rsid w:val="00EA26A7"/>
    <w:rPr>
      <w:b/>
      <w:color w:val="44697D"/>
      <w:sz w:val="32"/>
    </w:rPr>
  </w:style>
  <w:style w:type="character" w:customStyle="1" w:styleId="Heading7Char">
    <w:name w:val="Heading 7 Char"/>
    <w:basedOn w:val="DefaultParagraphFont"/>
    <w:link w:val="Heading7"/>
    <w:uiPriority w:val="9"/>
    <w:semiHidden/>
    <w:rsid w:val="00C2671F"/>
    <w:rPr>
      <w:rFonts w:asciiTheme="majorHAnsi" w:eastAsiaTheme="majorEastAsia" w:hAnsiTheme="majorHAnsi" w:cstheme="majorBidi"/>
      <w:i/>
      <w:iCs/>
      <w:color w:val="404040" w:themeColor="text1" w:themeTint="BF"/>
    </w:rPr>
  </w:style>
  <w:style w:type="paragraph" w:styleId="ListBullet">
    <w:name w:val="List Bullet"/>
    <w:basedOn w:val="Normal"/>
    <w:uiPriority w:val="99"/>
    <w:unhideWhenUsed/>
    <w:qFormat/>
    <w:rsid w:val="004C6ABA"/>
    <w:pPr>
      <w:numPr>
        <w:numId w:val="16"/>
      </w:numPr>
      <w:spacing w:before="0" w:after="60"/>
      <w:jc w:val="left"/>
    </w:pPr>
  </w:style>
  <w:style w:type="paragraph" w:styleId="ListBullet2">
    <w:name w:val="List Bullet 2"/>
    <w:basedOn w:val="Normal"/>
    <w:uiPriority w:val="99"/>
    <w:unhideWhenUsed/>
    <w:qFormat/>
    <w:rsid w:val="004C6ABA"/>
    <w:pPr>
      <w:numPr>
        <w:numId w:val="14"/>
      </w:numPr>
      <w:contextualSpacing/>
      <w:jc w:val="left"/>
    </w:pPr>
  </w:style>
  <w:style w:type="paragraph" w:styleId="ListBullet3">
    <w:name w:val="List Bullet 3"/>
    <w:basedOn w:val="Normal"/>
    <w:uiPriority w:val="99"/>
    <w:unhideWhenUsed/>
    <w:rsid w:val="0015476E"/>
    <w:pPr>
      <w:numPr>
        <w:ilvl w:val="2"/>
        <w:numId w:val="9"/>
      </w:numPr>
      <w:contextualSpacing/>
    </w:pPr>
  </w:style>
  <w:style w:type="paragraph" w:customStyle="1" w:styleId="NumberedParagraph">
    <w:name w:val="Numbered Paragraph"/>
    <w:basedOn w:val="Normal"/>
    <w:link w:val="NumberedParagraphChar"/>
    <w:uiPriority w:val="99"/>
    <w:qFormat/>
    <w:rsid w:val="007E36CB"/>
    <w:pPr>
      <w:numPr>
        <w:numId w:val="19"/>
      </w:numPr>
    </w:pPr>
  </w:style>
  <w:style w:type="paragraph" w:styleId="BalloonText">
    <w:name w:val="Balloon Text"/>
    <w:basedOn w:val="Normal"/>
    <w:link w:val="BalloonTextChar"/>
    <w:uiPriority w:val="99"/>
    <w:semiHidden/>
    <w:unhideWhenUsed/>
    <w:rsid w:val="007B1CBD"/>
    <w:pPr>
      <w:spacing w:before="0" w:after="0"/>
    </w:pPr>
    <w:rPr>
      <w:rFonts w:cs="Tahoma"/>
      <w:sz w:val="16"/>
      <w:szCs w:val="16"/>
    </w:rPr>
  </w:style>
  <w:style w:type="character" w:customStyle="1" w:styleId="NumberedParagraphChar">
    <w:name w:val="Numbered Paragraph Char"/>
    <w:aliases w:val="List Paragraph Char,Bullets Char,References Char,Numbered List Paragraph Char,List Paragraph (numbered (a)) Char,List Paragraph nowy Char,Liste 1 Char,Main numbered paragraph Char,123 List Paragraph Char,List_Paragraph Char"/>
    <w:basedOn w:val="DefaultParagraphFont"/>
    <w:link w:val="NumberedParagraph"/>
    <w:uiPriority w:val="34"/>
    <w:qFormat/>
    <w:rsid w:val="007E36CB"/>
  </w:style>
  <w:style w:type="character" w:customStyle="1" w:styleId="BalloonTextChar">
    <w:name w:val="Balloon Text Char"/>
    <w:basedOn w:val="DefaultParagraphFont"/>
    <w:link w:val="BalloonText"/>
    <w:uiPriority w:val="99"/>
    <w:semiHidden/>
    <w:rsid w:val="007B1CBD"/>
    <w:rPr>
      <w:rFonts w:ascii="Tahoma" w:hAnsi="Tahoma" w:cs="Tahoma"/>
      <w:sz w:val="16"/>
      <w:szCs w:val="16"/>
    </w:rPr>
  </w:style>
  <w:style w:type="paragraph" w:styleId="Caption">
    <w:name w:val="caption"/>
    <w:basedOn w:val="Normal"/>
    <w:next w:val="Normal"/>
    <w:link w:val="CaptionChar"/>
    <w:uiPriority w:val="99"/>
    <w:unhideWhenUsed/>
    <w:qFormat/>
    <w:rsid w:val="007E36CB"/>
    <w:pPr>
      <w:keepNext/>
      <w:spacing w:before="240"/>
      <w:jc w:val="center"/>
    </w:pPr>
    <w:rPr>
      <w:b/>
      <w:bCs/>
      <w:szCs w:val="18"/>
    </w:rPr>
  </w:style>
  <w:style w:type="paragraph" w:customStyle="1" w:styleId="Annex">
    <w:name w:val="Annex"/>
    <w:basedOn w:val="Normal"/>
    <w:next w:val="NumberedParagraph"/>
    <w:link w:val="AnnexChar"/>
    <w:uiPriority w:val="99"/>
    <w:qFormat/>
    <w:rsid w:val="0068061C"/>
    <w:pPr>
      <w:numPr>
        <w:ilvl w:val="3"/>
        <w:numId w:val="3"/>
      </w:numPr>
      <w:spacing w:after="360"/>
      <w:jc w:val="left"/>
      <w:outlineLvl w:val="0"/>
    </w:pPr>
    <w:rPr>
      <w:b/>
      <w:color w:val="32746D"/>
      <w:sz w:val="32"/>
      <w:szCs w:val="32"/>
    </w:rPr>
  </w:style>
  <w:style w:type="paragraph" w:customStyle="1" w:styleId="Tabletitle">
    <w:name w:val="Table title"/>
    <w:basedOn w:val="Normal"/>
    <w:next w:val="Normal"/>
    <w:uiPriority w:val="99"/>
    <w:qFormat/>
    <w:rsid w:val="009655E0"/>
    <w:pPr>
      <w:autoSpaceDE w:val="0"/>
      <w:autoSpaceDN w:val="0"/>
      <w:adjustRightInd w:val="0"/>
      <w:spacing w:before="0" w:after="0" w:line="241" w:lineRule="atLeast"/>
      <w:jc w:val="center"/>
    </w:pPr>
    <w:rPr>
      <w:rFonts w:eastAsia="Calibri" w:cs="Tahoma"/>
      <w:b/>
      <w:color w:val="FFFFFF" w:themeColor="background1"/>
      <w:lang w:val="pl-PL" w:eastAsia="en-US"/>
    </w:rPr>
  </w:style>
  <w:style w:type="paragraph" w:styleId="TOC1">
    <w:name w:val="toc 1"/>
    <w:basedOn w:val="Normal"/>
    <w:uiPriority w:val="39"/>
    <w:qFormat/>
    <w:rsid w:val="009655E0"/>
    <w:pPr>
      <w:keepNext/>
      <w:tabs>
        <w:tab w:val="right" w:leader="dot" w:pos="9639"/>
      </w:tabs>
      <w:ind w:left="1134" w:hanging="1134"/>
      <w:jc w:val="left"/>
    </w:pPr>
    <w:rPr>
      <w:noProof/>
    </w:rPr>
  </w:style>
  <w:style w:type="paragraph" w:styleId="TOC2">
    <w:name w:val="toc 2"/>
    <w:basedOn w:val="Normal"/>
    <w:uiPriority w:val="39"/>
    <w:qFormat/>
    <w:rsid w:val="009655E0"/>
    <w:pPr>
      <w:tabs>
        <w:tab w:val="left" w:pos="1440"/>
        <w:tab w:val="right" w:leader="dot" w:pos="9639"/>
      </w:tabs>
      <w:ind w:left="1134" w:hanging="1134"/>
      <w:jc w:val="left"/>
    </w:pPr>
    <w:rPr>
      <w:rFonts w:eastAsiaTheme="majorEastAsia" w:cs="Times New Roman"/>
      <w:noProof/>
      <w:kern w:val="18"/>
      <w:lang w:eastAsia="en-US"/>
    </w:rPr>
  </w:style>
  <w:style w:type="character" w:styleId="Hyperlink">
    <w:name w:val="Hyperlink"/>
    <w:basedOn w:val="DefaultParagraphFont"/>
    <w:uiPriority w:val="99"/>
    <w:rsid w:val="00934A18"/>
    <w:rPr>
      <w:color w:val="76C474"/>
      <w:u w:val="single"/>
    </w:rPr>
  </w:style>
  <w:style w:type="paragraph" w:styleId="TOC3">
    <w:name w:val="toc 3"/>
    <w:basedOn w:val="Normal"/>
    <w:next w:val="Normal"/>
    <w:uiPriority w:val="39"/>
    <w:qFormat/>
    <w:rsid w:val="009655E0"/>
    <w:pPr>
      <w:tabs>
        <w:tab w:val="right" w:leader="dot" w:pos="9639"/>
      </w:tabs>
      <w:ind w:left="1134" w:hanging="850"/>
    </w:pPr>
    <w:rPr>
      <w:noProof/>
      <w:szCs w:val="24"/>
    </w:rPr>
  </w:style>
  <w:style w:type="paragraph" w:styleId="Subtitle">
    <w:name w:val="Subtitle"/>
    <w:basedOn w:val="Normal"/>
    <w:link w:val="SubtitleChar"/>
    <w:uiPriority w:val="99"/>
    <w:rsid w:val="006732AB"/>
    <w:pPr>
      <w:numPr>
        <w:numId w:val="1"/>
      </w:numPr>
      <w:tabs>
        <w:tab w:val="clear" w:pos="720"/>
      </w:tabs>
      <w:spacing w:before="0" w:after="60"/>
      <w:jc w:val="center"/>
      <w:outlineLvl w:val="1"/>
    </w:pPr>
    <w:rPr>
      <w:rFonts w:ascii="Arial" w:eastAsia="Times New Roman" w:hAnsi="Arial" w:cs="Arial"/>
      <w:sz w:val="24"/>
      <w:szCs w:val="24"/>
      <w:lang w:val="en-AU" w:eastAsia="en-AU"/>
    </w:rPr>
  </w:style>
  <w:style w:type="character" w:customStyle="1" w:styleId="SubtitleChar">
    <w:name w:val="Subtitle Char"/>
    <w:basedOn w:val="DefaultParagraphFont"/>
    <w:link w:val="Subtitle"/>
    <w:uiPriority w:val="99"/>
    <w:rsid w:val="006732AB"/>
    <w:rPr>
      <w:rFonts w:ascii="Arial" w:eastAsia="Times New Roman" w:hAnsi="Arial" w:cs="Arial"/>
      <w:sz w:val="24"/>
      <w:szCs w:val="24"/>
      <w:lang w:val="en-AU" w:eastAsia="en-AU"/>
    </w:rPr>
  </w:style>
  <w:style w:type="paragraph" w:styleId="TOCHeading">
    <w:name w:val="TOC Heading"/>
    <w:basedOn w:val="Heading1"/>
    <w:next w:val="Normal"/>
    <w:uiPriority w:val="39"/>
    <w:qFormat/>
    <w:rsid w:val="006732AB"/>
    <w:pPr>
      <w:keepNext/>
      <w:keepLines/>
      <w:pageBreakBefore w:val="0"/>
      <w:spacing w:before="480" w:after="0" w:line="276" w:lineRule="auto"/>
      <w:outlineLvl w:val="9"/>
    </w:pPr>
    <w:rPr>
      <w:rFonts w:ascii="Cambria" w:hAnsi="Cambria"/>
      <w:bCs/>
      <w:color w:val="365F91"/>
      <w:sz w:val="28"/>
      <w:szCs w:val="28"/>
      <w:lang w:val="en-US" w:eastAsia="en-US"/>
    </w:rPr>
  </w:style>
  <w:style w:type="paragraph" w:styleId="TableofFigures">
    <w:name w:val="table of figures"/>
    <w:basedOn w:val="Normal"/>
    <w:next w:val="Normal"/>
    <w:uiPriority w:val="99"/>
    <w:rsid w:val="006732AB"/>
    <w:rPr>
      <w:rFonts w:eastAsia="Times New Roman" w:cs="Times New Roman"/>
      <w:szCs w:val="24"/>
    </w:rPr>
  </w:style>
  <w:style w:type="paragraph" w:styleId="EndnoteText">
    <w:name w:val="endnote text"/>
    <w:basedOn w:val="Normal"/>
    <w:link w:val="EndnoteTextChar"/>
    <w:semiHidden/>
    <w:rsid w:val="00A7501E"/>
    <w:pPr>
      <w:widowControl w:val="0"/>
      <w:autoSpaceDE w:val="0"/>
      <w:autoSpaceDN w:val="0"/>
      <w:adjustRightInd w:val="0"/>
    </w:pPr>
    <w:rPr>
      <w:rFonts w:ascii="Courier New" w:eastAsia="Times New Roman" w:hAnsi="Courier New" w:cs="Times New Roman"/>
      <w:szCs w:val="24"/>
      <w:lang w:val="en-US" w:eastAsia="en-US"/>
    </w:rPr>
  </w:style>
  <w:style w:type="character" w:customStyle="1" w:styleId="EndnoteTextChar">
    <w:name w:val="Endnote Text Char"/>
    <w:basedOn w:val="DefaultParagraphFont"/>
    <w:link w:val="EndnoteText"/>
    <w:semiHidden/>
    <w:rsid w:val="00A7501E"/>
    <w:rPr>
      <w:rFonts w:ascii="Courier New" w:eastAsia="Times New Roman" w:hAnsi="Courier New" w:cs="Times New Roman"/>
      <w:sz w:val="20"/>
      <w:szCs w:val="24"/>
      <w:lang w:val="en-US" w:eastAsia="en-US"/>
    </w:rPr>
  </w:style>
  <w:style w:type="character" w:customStyle="1" w:styleId="NormalIndentChar">
    <w:name w:val="Normal Indent Char"/>
    <w:link w:val="NormalIndent"/>
    <w:locked/>
    <w:rsid w:val="002121AC"/>
    <w:rPr>
      <w:rFonts w:ascii="Tahoma" w:hAnsi="Tahoma"/>
      <w:sz w:val="20"/>
    </w:rPr>
  </w:style>
  <w:style w:type="paragraph" w:customStyle="1" w:styleId="Table">
    <w:name w:val="Table"/>
    <w:basedOn w:val="Normal"/>
    <w:link w:val="TableChar"/>
    <w:qFormat/>
    <w:rsid w:val="009655E0"/>
    <w:pPr>
      <w:tabs>
        <w:tab w:val="left" w:pos="567"/>
      </w:tabs>
      <w:spacing w:before="0" w:after="60"/>
    </w:pPr>
    <w:rPr>
      <w:rFonts w:eastAsia="Times New Roman" w:cs="Times New Roman"/>
      <w:lang w:eastAsia="en-US"/>
    </w:rPr>
  </w:style>
  <w:style w:type="paragraph" w:customStyle="1" w:styleId="Indentnumbered">
    <w:name w:val="Indent numbered"/>
    <w:basedOn w:val="NormalIndent"/>
    <w:link w:val="IndentnumberedChar"/>
    <w:rsid w:val="0005159B"/>
    <w:pPr>
      <w:tabs>
        <w:tab w:val="num" w:pos="1134"/>
        <w:tab w:val="left" w:pos="1276"/>
      </w:tabs>
      <w:spacing w:before="100" w:after="100"/>
      <w:ind w:left="1134" w:hanging="567"/>
      <w:jc w:val="left"/>
    </w:pPr>
    <w:rPr>
      <w:rFonts w:eastAsia="Times New Roman" w:cs="Times New Roman"/>
      <w:szCs w:val="24"/>
      <w:lang w:val="en-US"/>
    </w:rPr>
  </w:style>
  <w:style w:type="character" w:customStyle="1" w:styleId="IndentnumberedChar">
    <w:name w:val="Indent numbered Char"/>
    <w:link w:val="Indentnumbered"/>
    <w:locked/>
    <w:rsid w:val="0005159B"/>
    <w:rPr>
      <w:rFonts w:ascii="Tahoma" w:eastAsia="Times New Roman" w:hAnsi="Tahoma" w:cs="Times New Roman"/>
      <w:sz w:val="20"/>
      <w:szCs w:val="24"/>
      <w:lang w:val="en-US"/>
    </w:rPr>
  </w:style>
  <w:style w:type="character" w:customStyle="1" w:styleId="CaptionChar">
    <w:name w:val="Caption Char"/>
    <w:link w:val="Caption"/>
    <w:uiPriority w:val="99"/>
    <w:locked/>
    <w:rsid w:val="007E36CB"/>
    <w:rPr>
      <w:rFonts w:ascii="Tahoma" w:hAnsi="Tahoma"/>
      <w:b/>
      <w:bCs/>
      <w:sz w:val="20"/>
      <w:szCs w:val="18"/>
    </w:rPr>
  </w:style>
  <w:style w:type="paragraph" w:customStyle="1" w:styleId="LeaderStyle">
    <w:name w:val="Leader Style"/>
    <w:basedOn w:val="Normal"/>
    <w:link w:val="LeaderStyleChar"/>
    <w:uiPriority w:val="15"/>
    <w:qFormat/>
    <w:rsid w:val="009655E0"/>
    <w:pPr>
      <w:spacing w:before="480" w:after="160"/>
      <w:jc w:val="center"/>
    </w:pPr>
    <w:rPr>
      <w:rFonts w:eastAsia="Times New Roman" w:cs="Times New Roman"/>
      <w:b/>
      <w:i/>
      <w:color w:val="32746D"/>
      <w:sz w:val="32"/>
      <w:szCs w:val="20"/>
      <w:lang w:val="en-US" w:eastAsia="en-US"/>
    </w:rPr>
  </w:style>
  <w:style w:type="paragraph" w:styleId="NormalIndent">
    <w:name w:val="Normal Indent"/>
    <w:basedOn w:val="Normal"/>
    <w:link w:val="NormalIndentChar"/>
    <w:unhideWhenUsed/>
    <w:rsid w:val="0005159B"/>
    <w:pPr>
      <w:ind w:left="720"/>
    </w:pPr>
  </w:style>
  <w:style w:type="paragraph" w:customStyle="1" w:styleId="NoParagraphStyle">
    <w:name w:val="[No Paragraph Style]"/>
    <w:rsid w:val="00B250F9"/>
    <w:pPr>
      <w:autoSpaceDE w:val="0"/>
      <w:autoSpaceDN w:val="0"/>
      <w:adjustRightInd w:val="0"/>
      <w:spacing w:after="0" w:line="288" w:lineRule="auto"/>
      <w:textAlignment w:val="center"/>
    </w:pPr>
    <w:rPr>
      <w:rFonts w:ascii="Times Regular" w:eastAsia="Times New Roman" w:hAnsi="Times Regular" w:cs="Times Regular"/>
      <w:color w:val="000000"/>
      <w:sz w:val="24"/>
      <w:szCs w:val="24"/>
    </w:rPr>
  </w:style>
  <w:style w:type="numbering" w:customStyle="1" w:styleId="ListBulletsWorldBankADB">
    <w:name w:val="ListBulletsWorldBank/ADB"/>
    <w:rsid w:val="0015476E"/>
    <w:pPr>
      <w:numPr>
        <w:numId w:val="2"/>
      </w:numPr>
    </w:pPr>
  </w:style>
  <w:style w:type="paragraph" w:styleId="ListParagraph">
    <w:name w:val="List Paragraph"/>
    <w:aliases w:val="Box text,Bullets,References,Numbered List Paragraph,List Paragraph (numbered (a)),List Paragraph nowy,Liste 1,Main numbered paragraph,123 List Paragraph,List_Paragraph,Multilevel para_II,List Paragraph1,Bullet paras,Body,lp1,Ha"/>
    <w:basedOn w:val="Normal"/>
    <w:uiPriority w:val="34"/>
    <w:qFormat/>
    <w:rsid w:val="00945F9F"/>
    <w:pPr>
      <w:ind w:left="720"/>
      <w:contextualSpacing/>
    </w:pPr>
    <w:rPr>
      <w:rFonts w:eastAsia="Times New Roman" w:cs="Times New Roman"/>
      <w:szCs w:val="24"/>
    </w:rPr>
  </w:style>
  <w:style w:type="numbering" w:customStyle="1" w:styleId="IndentedNumberWorldBank">
    <w:name w:val="IndentedNumberWorldBank"/>
    <w:uiPriority w:val="99"/>
    <w:rsid w:val="00335E7C"/>
    <w:pPr>
      <w:numPr>
        <w:numId w:val="4"/>
      </w:numPr>
    </w:pPr>
  </w:style>
  <w:style w:type="paragraph" w:customStyle="1" w:styleId="Recommendation">
    <w:name w:val="Recommendation"/>
    <w:basedOn w:val="Normal"/>
    <w:next w:val="NumberedParagraph"/>
    <w:link w:val="RecommendationChar"/>
    <w:uiPriority w:val="10"/>
    <w:rsid w:val="007E36CB"/>
    <w:pPr>
      <w:numPr>
        <w:numId w:val="11"/>
      </w:numPr>
      <w:jc w:val="left"/>
    </w:pPr>
    <w:rPr>
      <w:b/>
      <w:i/>
    </w:rPr>
  </w:style>
  <w:style w:type="paragraph" w:styleId="ListNumber">
    <w:name w:val="List Number"/>
    <w:aliases w:val="Indented List"/>
    <w:basedOn w:val="Normal"/>
    <w:link w:val="ListNumberChar"/>
    <w:uiPriority w:val="99"/>
    <w:unhideWhenUsed/>
    <w:qFormat/>
    <w:rsid w:val="004C6ABA"/>
    <w:pPr>
      <w:numPr>
        <w:numId w:val="8"/>
      </w:numPr>
      <w:spacing w:before="0" w:after="60"/>
      <w:jc w:val="left"/>
    </w:pPr>
  </w:style>
  <w:style w:type="paragraph" w:customStyle="1" w:styleId="USP">
    <w:name w:val="USP"/>
    <w:basedOn w:val="Normal"/>
    <w:next w:val="NumberedParagraph"/>
    <w:link w:val="USPChar"/>
    <w:uiPriority w:val="10"/>
    <w:rsid w:val="007E36CB"/>
    <w:pPr>
      <w:numPr>
        <w:numId w:val="12"/>
      </w:numPr>
      <w:jc w:val="left"/>
    </w:pPr>
    <w:rPr>
      <w:b/>
      <w:i/>
    </w:rPr>
  </w:style>
  <w:style w:type="character" w:customStyle="1" w:styleId="RecommendationChar">
    <w:name w:val="Recommendation Char"/>
    <w:basedOn w:val="DefaultParagraphFont"/>
    <w:link w:val="Recommendation"/>
    <w:uiPriority w:val="10"/>
    <w:rsid w:val="007E36CB"/>
    <w:rPr>
      <w:b/>
      <w:i/>
    </w:rPr>
  </w:style>
  <w:style w:type="numbering" w:customStyle="1" w:styleId="Recommnendation">
    <w:name w:val="Recommnendation"/>
    <w:uiPriority w:val="99"/>
    <w:rsid w:val="007838B6"/>
    <w:pPr>
      <w:numPr>
        <w:numId w:val="6"/>
      </w:numPr>
    </w:pPr>
  </w:style>
  <w:style w:type="numbering" w:customStyle="1" w:styleId="KeyIssues">
    <w:name w:val="KeyIssues"/>
    <w:uiPriority w:val="99"/>
    <w:rsid w:val="00DC2F3D"/>
    <w:pPr>
      <w:numPr>
        <w:numId w:val="5"/>
      </w:numPr>
    </w:pPr>
  </w:style>
  <w:style w:type="paragraph" w:customStyle="1" w:styleId="KeyIssue">
    <w:name w:val="Key Issue"/>
    <w:basedOn w:val="Normal"/>
    <w:next w:val="NumberedParagraph"/>
    <w:link w:val="KeyIssueChar"/>
    <w:uiPriority w:val="10"/>
    <w:rsid w:val="007E36CB"/>
    <w:pPr>
      <w:numPr>
        <w:numId w:val="13"/>
      </w:numPr>
      <w:jc w:val="left"/>
    </w:pPr>
    <w:rPr>
      <w:b/>
      <w:i/>
    </w:rPr>
  </w:style>
  <w:style w:type="character" w:customStyle="1" w:styleId="USPChar">
    <w:name w:val="USP Char"/>
    <w:basedOn w:val="DefaultParagraphFont"/>
    <w:link w:val="USP"/>
    <w:uiPriority w:val="10"/>
    <w:rsid w:val="007E36CB"/>
    <w:rPr>
      <w:b/>
      <w:i/>
    </w:rPr>
  </w:style>
  <w:style w:type="character" w:customStyle="1" w:styleId="KeyIssueChar">
    <w:name w:val="Key Issue Char"/>
    <w:basedOn w:val="DefaultParagraphFont"/>
    <w:link w:val="KeyIssue"/>
    <w:uiPriority w:val="10"/>
    <w:rsid w:val="007E36CB"/>
    <w:rPr>
      <w:b/>
      <w:i/>
    </w:rPr>
  </w:style>
  <w:style w:type="numbering" w:customStyle="1" w:styleId="USPList">
    <w:name w:val="USP List"/>
    <w:uiPriority w:val="99"/>
    <w:rsid w:val="007838B6"/>
    <w:pPr>
      <w:numPr>
        <w:numId w:val="7"/>
      </w:numPr>
    </w:pPr>
  </w:style>
  <w:style w:type="character" w:customStyle="1" w:styleId="AnnexChar">
    <w:name w:val="Annex Char"/>
    <w:basedOn w:val="DefaultParagraphFont"/>
    <w:link w:val="Annex"/>
    <w:uiPriority w:val="99"/>
    <w:rsid w:val="0068061C"/>
    <w:rPr>
      <w:b/>
      <w:color w:val="32746D"/>
      <w:sz w:val="32"/>
      <w:szCs w:val="32"/>
    </w:rPr>
  </w:style>
  <w:style w:type="character" w:customStyle="1" w:styleId="A1">
    <w:name w:val="A1"/>
    <w:uiPriority w:val="99"/>
    <w:rsid w:val="0023764F"/>
    <w:rPr>
      <w:color w:val="385F79"/>
      <w:sz w:val="14"/>
      <w:szCs w:val="14"/>
    </w:rPr>
  </w:style>
  <w:style w:type="character" w:customStyle="1" w:styleId="A2">
    <w:name w:val="A2"/>
    <w:uiPriority w:val="99"/>
    <w:rsid w:val="0023764F"/>
    <w:rPr>
      <w:color w:val="385F79"/>
      <w:sz w:val="12"/>
      <w:szCs w:val="12"/>
    </w:rPr>
  </w:style>
  <w:style w:type="paragraph" w:styleId="BodyText">
    <w:name w:val="Body Text"/>
    <w:aliases w:val="Body Text Char3 Char,Body Text Char2 Char1 Char,Body Text Char Char1 Char1 Char,Body Text Char2 Char Char Char Char,Body Text Char Char1 Char Char Char Char,Char Char Char Char Char Char Char,Body Text Char Char2 Char Char"/>
    <w:basedOn w:val="Normal"/>
    <w:link w:val="BodyTextChar1"/>
    <w:rsid w:val="001D796C"/>
    <w:pPr>
      <w:spacing w:before="60" w:after="60"/>
      <w:ind w:left="720"/>
      <w:jc w:val="left"/>
    </w:pPr>
    <w:rPr>
      <w:rFonts w:ascii="Arial" w:eastAsia="Times New Roman" w:hAnsi="Arial" w:cs="Times New Roman"/>
      <w:sz w:val="24"/>
      <w:szCs w:val="24"/>
    </w:rPr>
  </w:style>
  <w:style w:type="character" w:customStyle="1" w:styleId="BodyTextChar">
    <w:name w:val="Body Text Char"/>
    <w:basedOn w:val="DefaultParagraphFont"/>
    <w:uiPriority w:val="99"/>
    <w:semiHidden/>
    <w:rsid w:val="001D796C"/>
    <w:rPr>
      <w:rFonts w:ascii="Tahoma" w:hAnsi="Tahoma"/>
      <w:sz w:val="20"/>
    </w:rPr>
  </w:style>
  <w:style w:type="paragraph" w:styleId="NoSpacing">
    <w:name w:val="No Spacing"/>
    <w:link w:val="NoSpacingChar"/>
    <w:uiPriority w:val="1"/>
    <w:qFormat/>
    <w:rsid w:val="002C4598"/>
    <w:pPr>
      <w:spacing w:after="0" w:line="240" w:lineRule="auto"/>
      <w:jc w:val="both"/>
    </w:pPr>
    <w:rPr>
      <w:rFonts w:ascii="Times New Roman" w:eastAsia="Times New Roman" w:hAnsi="Times New Roman" w:cs="Times New Roman"/>
      <w:sz w:val="24"/>
      <w:lang w:eastAsia="en-US"/>
    </w:rPr>
  </w:style>
  <w:style w:type="character" w:customStyle="1" w:styleId="BodyTextChar1">
    <w:name w:val="Body Text Char1"/>
    <w:aliases w:val="Body Text Char3 Char Char,Body Text Char2 Char1 Char Char,Body Text Char Char1 Char1 Char Char,Body Text Char2 Char Char Char Char Char,Body Text Char Char1 Char Char Char Char Char,Char Char Char Char Char Char Char Char"/>
    <w:link w:val="BodyText"/>
    <w:locked/>
    <w:rsid w:val="001D796C"/>
    <w:rPr>
      <w:rFonts w:ascii="Arial" w:eastAsia="Times New Roman" w:hAnsi="Arial" w:cs="Times New Roman"/>
      <w:sz w:val="24"/>
      <w:szCs w:val="24"/>
    </w:rPr>
  </w:style>
  <w:style w:type="paragraph" w:styleId="DocumentMap">
    <w:name w:val="Document Map"/>
    <w:basedOn w:val="Normal"/>
    <w:link w:val="DocumentMapChar"/>
    <w:uiPriority w:val="99"/>
    <w:semiHidden/>
    <w:unhideWhenUsed/>
    <w:rsid w:val="00176554"/>
    <w:pPr>
      <w:spacing w:before="0" w:after="0"/>
    </w:pPr>
    <w:rPr>
      <w:rFonts w:cs="Tahoma"/>
      <w:sz w:val="16"/>
      <w:szCs w:val="16"/>
    </w:rPr>
  </w:style>
  <w:style w:type="character" w:customStyle="1" w:styleId="DocumentMapChar">
    <w:name w:val="Document Map Char"/>
    <w:basedOn w:val="DefaultParagraphFont"/>
    <w:link w:val="DocumentMap"/>
    <w:uiPriority w:val="99"/>
    <w:semiHidden/>
    <w:rsid w:val="00176554"/>
    <w:rPr>
      <w:rFonts w:ascii="Tahoma" w:hAnsi="Tahoma" w:cs="Tahoma"/>
      <w:sz w:val="16"/>
      <w:szCs w:val="16"/>
    </w:rPr>
  </w:style>
  <w:style w:type="paragraph" w:customStyle="1" w:styleId="DefaultParagraphFontParaCharCharCharCharCharChar1Char">
    <w:name w:val="Default Paragraph Font Para Char Char Char Char Char Char1 Char"/>
    <w:basedOn w:val="Normal"/>
    <w:rsid w:val="008B6930"/>
    <w:pPr>
      <w:spacing w:before="0" w:after="160" w:line="240" w:lineRule="exact"/>
      <w:jc w:val="left"/>
    </w:pPr>
    <w:rPr>
      <w:rFonts w:ascii="Arial" w:eastAsia="Times New Roman" w:hAnsi="Arial" w:cs="Times New Roman"/>
      <w:szCs w:val="20"/>
      <w:lang w:val="en-US" w:eastAsia="en-US"/>
    </w:rPr>
  </w:style>
  <w:style w:type="paragraph" w:customStyle="1" w:styleId="BasicParagraph">
    <w:name w:val="[Basic Paragraph]"/>
    <w:basedOn w:val="NoParagraphStyle"/>
    <w:uiPriority w:val="99"/>
    <w:rsid w:val="00193D93"/>
    <w:rPr>
      <w:rFonts w:ascii="Times New Roman" w:eastAsiaTheme="minorEastAsia" w:hAnsi="Times New Roman" w:cs="Times New Roman"/>
    </w:rPr>
  </w:style>
  <w:style w:type="character" w:styleId="PageNumber">
    <w:name w:val="page number"/>
    <w:basedOn w:val="DefaultParagraphFont"/>
    <w:unhideWhenUsed/>
    <w:rsid w:val="00820E04"/>
  </w:style>
  <w:style w:type="character" w:customStyle="1" w:styleId="NoSpacingChar">
    <w:name w:val="No Spacing Char"/>
    <w:basedOn w:val="DefaultParagraphFont"/>
    <w:link w:val="NoSpacing"/>
    <w:uiPriority w:val="1"/>
    <w:rsid w:val="00507ADE"/>
    <w:rPr>
      <w:rFonts w:ascii="Times New Roman" w:eastAsia="Times New Roman" w:hAnsi="Times New Roman" w:cs="Times New Roman"/>
      <w:sz w:val="24"/>
      <w:lang w:eastAsia="en-US"/>
    </w:rPr>
  </w:style>
  <w:style w:type="paragraph" w:customStyle="1" w:styleId="Doubleindentedlist">
    <w:name w:val="Double indented list"/>
    <w:basedOn w:val="ListNumber"/>
    <w:link w:val="DoubleindentedlistChar"/>
    <w:uiPriority w:val="15"/>
    <w:qFormat/>
    <w:rsid w:val="004C6ABA"/>
    <w:pPr>
      <w:numPr>
        <w:numId w:val="17"/>
      </w:numPr>
      <w:ind w:left="1560" w:hanging="426"/>
    </w:pPr>
  </w:style>
  <w:style w:type="character" w:customStyle="1" w:styleId="ListNumberChar">
    <w:name w:val="List Number Char"/>
    <w:aliases w:val="Indented List Char"/>
    <w:basedOn w:val="DefaultParagraphFont"/>
    <w:link w:val="ListNumber"/>
    <w:uiPriority w:val="99"/>
    <w:rsid w:val="004C6ABA"/>
  </w:style>
  <w:style w:type="character" w:customStyle="1" w:styleId="DoubleindentedlistChar">
    <w:name w:val="Double indented list Char"/>
    <w:basedOn w:val="ListNumberChar"/>
    <w:link w:val="Doubleindentedlist"/>
    <w:uiPriority w:val="15"/>
    <w:rsid w:val="004C6ABA"/>
  </w:style>
  <w:style w:type="paragraph" w:styleId="FootnoteText">
    <w:name w:val="footnote text"/>
    <w:basedOn w:val="Normal"/>
    <w:link w:val="FootnoteTextChar"/>
    <w:uiPriority w:val="99"/>
    <w:unhideWhenUsed/>
    <w:rsid w:val="0068061C"/>
    <w:pPr>
      <w:spacing w:before="0" w:after="0"/>
    </w:pPr>
    <w:rPr>
      <w:sz w:val="20"/>
      <w:szCs w:val="20"/>
    </w:rPr>
  </w:style>
  <w:style w:type="character" w:customStyle="1" w:styleId="FootnoteTextChar">
    <w:name w:val="Footnote Text Char"/>
    <w:basedOn w:val="DefaultParagraphFont"/>
    <w:link w:val="FootnoteText"/>
    <w:uiPriority w:val="99"/>
    <w:rsid w:val="0068061C"/>
    <w:rPr>
      <w:sz w:val="20"/>
      <w:szCs w:val="20"/>
    </w:rPr>
  </w:style>
  <w:style w:type="character" w:styleId="FootnoteReference">
    <w:name w:val="footnote reference"/>
    <w:basedOn w:val="DefaultParagraphFont"/>
    <w:uiPriority w:val="99"/>
    <w:semiHidden/>
    <w:unhideWhenUsed/>
    <w:rsid w:val="0068061C"/>
    <w:rPr>
      <w:vertAlign w:val="superscript"/>
    </w:rPr>
  </w:style>
  <w:style w:type="paragraph" w:customStyle="1" w:styleId="Footnote">
    <w:name w:val="Footnote"/>
    <w:basedOn w:val="FootnoteText"/>
    <w:link w:val="FootnoteChar"/>
    <w:uiPriority w:val="15"/>
    <w:qFormat/>
    <w:rsid w:val="0068061C"/>
    <w:rPr>
      <w:rFonts w:ascii="Times New Roman" w:hAnsi="Times New Roman"/>
      <w:sz w:val="16"/>
    </w:rPr>
  </w:style>
  <w:style w:type="paragraph" w:customStyle="1" w:styleId="DocumentTitle">
    <w:name w:val="Document Title"/>
    <w:basedOn w:val="NoSpacing"/>
    <w:link w:val="DocumentTitleChar"/>
    <w:uiPriority w:val="15"/>
    <w:qFormat/>
    <w:rsid w:val="00195394"/>
    <w:pPr>
      <w:spacing w:before="240"/>
      <w:jc w:val="left"/>
    </w:pPr>
    <w:rPr>
      <w:rFonts w:asciiTheme="minorHAnsi" w:hAnsiTheme="minorHAnsi"/>
      <w:b/>
      <w:caps/>
      <w:color w:val="32746D"/>
      <w:sz w:val="72"/>
      <w:szCs w:val="36"/>
    </w:rPr>
  </w:style>
  <w:style w:type="character" w:customStyle="1" w:styleId="FootnoteChar">
    <w:name w:val="Footnote Char"/>
    <w:basedOn w:val="FootnoteTextChar"/>
    <w:link w:val="Footnote"/>
    <w:uiPriority w:val="15"/>
    <w:rsid w:val="0068061C"/>
    <w:rPr>
      <w:rFonts w:ascii="Times New Roman" w:hAnsi="Times New Roman"/>
      <w:sz w:val="16"/>
      <w:szCs w:val="20"/>
    </w:rPr>
  </w:style>
  <w:style w:type="character" w:customStyle="1" w:styleId="DocumentTitleChar">
    <w:name w:val="Document Title Char"/>
    <w:basedOn w:val="NoSpacingChar"/>
    <w:link w:val="DocumentTitle"/>
    <w:uiPriority w:val="15"/>
    <w:rsid w:val="00195394"/>
    <w:rPr>
      <w:rFonts w:ascii="Times New Roman" w:eastAsia="Times New Roman" w:hAnsi="Times New Roman" w:cs="Times New Roman"/>
      <w:b/>
      <w:caps/>
      <w:color w:val="32746D"/>
      <w:sz w:val="72"/>
      <w:szCs w:val="36"/>
      <w:lang w:eastAsia="en-US"/>
    </w:rPr>
  </w:style>
  <w:style w:type="paragraph" w:customStyle="1" w:styleId="Minh">
    <w:name w:val="Minh"/>
    <w:basedOn w:val="BodyText2"/>
    <w:link w:val="MinhChar"/>
    <w:qFormat/>
    <w:rsid w:val="00574629"/>
    <w:pPr>
      <w:numPr>
        <w:numId w:val="18"/>
      </w:numPr>
      <w:spacing w:line="240" w:lineRule="auto"/>
    </w:pPr>
    <w:rPr>
      <w:rFonts w:ascii="Times New Roman" w:eastAsia="Times New Roman" w:hAnsi="Times New Roman" w:cs="Times New Roman"/>
      <w:color w:val="000000"/>
      <w:sz w:val="24"/>
      <w:szCs w:val="24"/>
      <w:lang w:val="en-US"/>
    </w:rPr>
  </w:style>
  <w:style w:type="character" w:customStyle="1" w:styleId="MinhChar">
    <w:name w:val="Minh Char"/>
    <w:basedOn w:val="DefaultParagraphFont"/>
    <w:link w:val="Minh"/>
    <w:locked/>
    <w:rsid w:val="00574629"/>
    <w:rPr>
      <w:rFonts w:ascii="Times New Roman" w:eastAsia="Times New Roman" w:hAnsi="Times New Roman" w:cs="Times New Roman"/>
      <w:color w:val="000000"/>
      <w:sz w:val="24"/>
      <w:szCs w:val="24"/>
      <w:lang w:val="en-US"/>
    </w:rPr>
  </w:style>
  <w:style w:type="paragraph" w:styleId="BodyText2">
    <w:name w:val="Body Text 2"/>
    <w:basedOn w:val="Normal"/>
    <w:link w:val="BodyText2Char"/>
    <w:uiPriority w:val="99"/>
    <w:semiHidden/>
    <w:unhideWhenUsed/>
    <w:rsid w:val="00574629"/>
    <w:pPr>
      <w:spacing w:line="480" w:lineRule="auto"/>
    </w:pPr>
  </w:style>
  <w:style w:type="character" w:customStyle="1" w:styleId="BodyText2Char">
    <w:name w:val="Body Text 2 Char"/>
    <w:basedOn w:val="DefaultParagraphFont"/>
    <w:link w:val="BodyText2"/>
    <w:uiPriority w:val="99"/>
    <w:semiHidden/>
    <w:rsid w:val="00574629"/>
  </w:style>
  <w:style w:type="paragraph" w:styleId="CommentText">
    <w:name w:val="annotation text"/>
    <w:basedOn w:val="Normal"/>
    <w:link w:val="CommentTextChar"/>
    <w:uiPriority w:val="99"/>
    <w:unhideWhenUsed/>
    <w:rsid w:val="00B176D6"/>
    <w:pPr>
      <w:spacing w:before="0" w:after="20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rsid w:val="00B176D6"/>
    <w:rPr>
      <w:rFonts w:eastAsiaTheme="minorHAnsi"/>
      <w:sz w:val="20"/>
      <w:szCs w:val="20"/>
      <w:lang w:val="en-US" w:eastAsia="en-US"/>
    </w:rPr>
  </w:style>
  <w:style w:type="character" w:styleId="CommentReference">
    <w:name w:val="annotation reference"/>
    <w:basedOn w:val="DefaultParagraphFont"/>
    <w:uiPriority w:val="99"/>
    <w:semiHidden/>
    <w:unhideWhenUsed/>
    <w:rsid w:val="00FD3147"/>
    <w:rPr>
      <w:sz w:val="16"/>
      <w:szCs w:val="16"/>
    </w:rPr>
  </w:style>
  <w:style w:type="paragraph" w:styleId="CommentSubject">
    <w:name w:val="annotation subject"/>
    <w:basedOn w:val="CommentText"/>
    <w:next w:val="CommentText"/>
    <w:link w:val="CommentSubjectChar"/>
    <w:uiPriority w:val="99"/>
    <w:semiHidden/>
    <w:unhideWhenUsed/>
    <w:rsid w:val="00FD3147"/>
    <w:pPr>
      <w:spacing w:before="120" w:after="120"/>
      <w:jc w:val="both"/>
    </w:pPr>
    <w:rPr>
      <w:rFonts w:eastAsiaTheme="minorEastAsia"/>
      <w:b/>
      <w:bCs/>
      <w:lang w:val="en-GB" w:eastAsia="en-GB"/>
    </w:rPr>
  </w:style>
  <w:style w:type="character" w:customStyle="1" w:styleId="CommentSubjectChar">
    <w:name w:val="Comment Subject Char"/>
    <w:basedOn w:val="CommentTextChar"/>
    <w:link w:val="CommentSubject"/>
    <w:uiPriority w:val="99"/>
    <w:semiHidden/>
    <w:rsid w:val="00FD3147"/>
    <w:rPr>
      <w:rFonts w:eastAsiaTheme="minorHAnsi"/>
      <w:b/>
      <w:bCs/>
      <w:sz w:val="20"/>
      <w:szCs w:val="20"/>
      <w:lang w:val="en-US" w:eastAsia="en-US"/>
    </w:rPr>
  </w:style>
  <w:style w:type="paragraph" w:customStyle="1" w:styleId="TableTitletext">
    <w:name w:val="Table Title text"/>
    <w:basedOn w:val="Table"/>
    <w:link w:val="TableTitletextChar"/>
    <w:uiPriority w:val="15"/>
    <w:qFormat/>
    <w:rsid w:val="00725695"/>
    <w:pPr>
      <w:spacing w:before="30" w:after="30"/>
      <w:jc w:val="center"/>
    </w:pPr>
    <w:rPr>
      <w:rFonts w:cs="Tahoma"/>
      <w:b/>
      <w:color w:val="FFFFFF" w:themeColor="background1"/>
      <w:szCs w:val="20"/>
    </w:rPr>
  </w:style>
  <w:style w:type="paragraph" w:customStyle="1" w:styleId="Tabletext">
    <w:name w:val="Table text"/>
    <w:basedOn w:val="Table"/>
    <w:link w:val="TabletextChar"/>
    <w:uiPriority w:val="15"/>
    <w:qFormat/>
    <w:rsid w:val="00725695"/>
    <w:pPr>
      <w:spacing w:before="30" w:after="30"/>
      <w:jc w:val="left"/>
    </w:pPr>
    <w:rPr>
      <w:rFonts w:cs="Tahoma"/>
      <w:szCs w:val="20"/>
    </w:rPr>
  </w:style>
  <w:style w:type="character" w:customStyle="1" w:styleId="TableChar">
    <w:name w:val="Table Char"/>
    <w:basedOn w:val="DefaultParagraphFont"/>
    <w:link w:val="Table"/>
    <w:rsid w:val="00725695"/>
    <w:rPr>
      <w:rFonts w:eastAsia="Times New Roman" w:cs="Times New Roman"/>
      <w:lang w:eastAsia="en-US"/>
    </w:rPr>
  </w:style>
  <w:style w:type="character" w:customStyle="1" w:styleId="TableTitletextChar">
    <w:name w:val="Table Title text Char"/>
    <w:basedOn w:val="TableChar"/>
    <w:link w:val="TableTitletext"/>
    <w:uiPriority w:val="15"/>
    <w:rsid w:val="00725695"/>
    <w:rPr>
      <w:rFonts w:eastAsia="Times New Roman" w:cs="Tahoma"/>
      <w:b/>
      <w:color w:val="FFFFFF" w:themeColor="background1"/>
      <w:szCs w:val="20"/>
      <w:lang w:eastAsia="en-US"/>
    </w:rPr>
  </w:style>
  <w:style w:type="character" w:customStyle="1" w:styleId="TabletextChar">
    <w:name w:val="Table text Char"/>
    <w:basedOn w:val="TableChar"/>
    <w:link w:val="Tabletext"/>
    <w:uiPriority w:val="15"/>
    <w:rsid w:val="00725695"/>
    <w:rPr>
      <w:rFonts w:eastAsia="Times New Roman" w:cs="Tahoma"/>
      <w:szCs w:val="20"/>
      <w:lang w:eastAsia="en-US"/>
    </w:rPr>
  </w:style>
  <w:style w:type="character" w:customStyle="1" w:styleId="LeaderStyleChar">
    <w:name w:val="Leader Style Char"/>
    <w:basedOn w:val="DefaultParagraphFont"/>
    <w:link w:val="LeaderStyle"/>
    <w:uiPriority w:val="15"/>
    <w:rsid w:val="00725695"/>
    <w:rPr>
      <w:rFonts w:eastAsia="Times New Roman" w:cs="Times New Roman"/>
      <w:b/>
      <w:i/>
      <w:color w:val="32746D"/>
      <w:sz w:val="32"/>
      <w:szCs w:val="20"/>
      <w:lang w:val="en-US" w:eastAsia="en-US"/>
    </w:rPr>
  </w:style>
  <w:style w:type="table" w:customStyle="1" w:styleId="TableGrid1">
    <w:name w:val="Table Grid1"/>
    <w:basedOn w:val="TableNormal"/>
    <w:next w:val="TableGrid"/>
    <w:uiPriority w:val="39"/>
    <w:rsid w:val="00EA12E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E30FA"/>
    <w:rPr>
      <w:color w:val="605E5C"/>
      <w:shd w:val="clear" w:color="auto" w:fill="E1DFDD"/>
    </w:rPr>
  </w:style>
  <w:style w:type="character" w:customStyle="1" w:styleId="BestPracticeBulletsChar">
    <w:name w:val="Best Practice Bullets Char"/>
    <w:basedOn w:val="DefaultParagraphFont"/>
    <w:link w:val="BestPracticeBullets"/>
    <w:locked/>
    <w:rsid w:val="00A53516"/>
    <w:rPr>
      <w:rFonts w:cs="Times New Roman"/>
    </w:rPr>
  </w:style>
  <w:style w:type="paragraph" w:customStyle="1" w:styleId="BestPracticeBullets">
    <w:name w:val="Best Practice Bullets"/>
    <w:basedOn w:val="Normal"/>
    <w:link w:val="BestPracticeBulletsChar"/>
    <w:qFormat/>
    <w:rsid w:val="00A53516"/>
    <w:pPr>
      <w:numPr>
        <w:numId w:val="22"/>
      </w:numPr>
      <w:spacing w:before="0" w:after="0" w:line="256" w:lineRule="auto"/>
      <w:jc w:val="left"/>
    </w:pPr>
    <w:rPr>
      <w:rFonts w:cs="Times New Roman"/>
    </w:rPr>
  </w:style>
  <w:style w:type="table" w:customStyle="1" w:styleId="TableGridCFAA1">
    <w:name w:val="Table Grid CFAA1"/>
    <w:basedOn w:val="TableNormal"/>
    <w:next w:val="TableGrid"/>
    <w:uiPriority w:val="39"/>
    <w:rsid w:val="002513C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6D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7111">
      <w:bodyDiv w:val="1"/>
      <w:marLeft w:val="0"/>
      <w:marRight w:val="0"/>
      <w:marTop w:val="0"/>
      <w:marBottom w:val="0"/>
      <w:divBdr>
        <w:top w:val="none" w:sz="0" w:space="0" w:color="auto"/>
        <w:left w:val="none" w:sz="0" w:space="0" w:color="auto"/>
        <w:bottom w:val="none" w:sz="0" w:space="0" w:color="auto"/>
        <w:right w:val="none" w:sz="0" w:space="0" w:color="auto"/>
      </w:divBdr>
    </w:div>
    <w:div w:id="192377825">
      <w:bodyDiv w:val="1"/>
      <w:marLeft w:val="0"/>
      <w:marRight w:val="0"/>
      <w:marTop w:val="0"/>
      <w:marBottom w:val="0"/>
      <w:divBdr>
        <w:top w:val="none" w:sz="0" w:space="0" w:color="auto"/>
        <w:left w:val="none" w:sz="0" w:space="0" w:color="auto"/>
        <w:bottom w:val="none" w:sz="0" w:space="0" w:color="auto"/>
        <w:right w:val="none" w:sz="0" w:space="0" w:color="auto"/>
      </w:divBdr>
    </w:div>
    <w:div w:id="299655815">
      <w:bodyDiv w:val="1"/>
      <w:marLeft w:val="0"/>
      <w:marRight w:val="0"/>
      <w:marTop w:val="0"/>
      <w:marBottom w:val="0"/>
      <w:divBdr>
        <w:top w:val="none" w:sz="0" w:space="0" w:color="auto"/>
        <w:left w:val="none" w:sz="0" w:space="0" w:color="auto"/>
        <w:bottom w:val="none" w:sz="0" w:space="0" w:color="auto"/>
        <w:right w:val="none" w:sz="0" w:space="0" w:color="auto"/>
      </w:divBdr>
    </w:div>
    <w:div w:id="320235521">
      <w:bodyDiv w:val="1"/>
      <w:marLeft w:val="0"/>
      <w:marRight w:val="0"/>
      <w:marTop w:val="0"/>
      <w:marBottom w:val="0"/>
      <w:divBdr>
        <w:top w:val="none" w:sz="0" w:space="0" w:color="auto"/>
        <w:left w:val="none" w:sz="0" w:space="0" w:color="auto"/>
        <w:bottom w:val="none" w:sz="0" w:space="0" w:color="auto"/>
        <w:right w:val="none" w:sz="0" w:space="0" w:color="auto"/>
      </w:divBdr>
    </w:div>
    <w:div w:id="572084333">
      <w:bodyDiv w:val="1"/>
      <w:marLeft w:val="0"/>
      <w:marRight w:val="0"/>
      <w:marTop w:val="0"/>
      <w:marBottom w:val="0"/>
      <w:divBdr>
        <w:top w:val="none" w:sz="0" w:space="0" w:color="auto"/>
        <w:left w:val="none" w:sz="0" w:space="0" w:color="auto"/>
        <w:bottom w:val="none" w:sz="0" w:space="0" w:color="auto"/>
        <w:right w:val="none" w:sz="0" w:space="0" w:color="auto"/>
      </w:divBdr>
    </w:div>
    <w:div w:id="662703497">
      <w:bodyDiv w:val="1"/>
      <w:marLeft w:val="0"/>
      <w:marRight w:val="0"/>
      <w:marTop w:val="0"/>
      <w:marBottom w:val="0"/>
      <w:divBdr>
        <w:top w:val="none" w:sz="0" w:space="0" w:color="auto"/>
        <w:left w:val="none" w:sz="0" w:space="0" w:color="auto"/>
        <w:bottom w:val="none" w:sz="0" w:space="0" w:color="auto"/>
        <w:right w:val="none" w:sz="0" w:space="0" w:color="auto"/>
      </w:divBdr>
    </w:div>
    <w:div w:id="952706259">
      <w:bodyDiv w:val="1"/>
      <w:marLeft w:val="0"/>
      <w:marRight w:val="0"/>
      <w:marTop w:val="0"/>
      <w:marBottom w:val="0"/>
      <w:divBdr>
        <w:top w:val="none" w:sz="0" w:space="0" w:color="auto"/>
        <w:left w:val="none" w:sz="0" w:space="0" w:color="auto"/>
        <w:bottom w:val="none" w:sz="0" w:space="0" w:color="auto"/>
        <w:right w:val="none" w:sz="0" w:space="0" w:color="auto"/>
      </w:divBdr>
    </w:div>
    <w:div w:id="971787114">
      <w:bodyDiv w:val="1"/>
      <w:marLeft w:val="0"/>
      <w:marRight w:val="0"/>
      <w:marTop w:val="0"/>
      <w:marBottom w:val="0"/>
      <w:divBdr>
        <w:top w:val="none" w:sz="0" w:space="0" w:color="auto"/>
        <w:left w:val="none" w:sz="0" w:space="0" w:color="auto"/>
        <w:bottom w:val="none" w:sz="0" w:space="0" w:color="auto"/>
        <w:right w:val="none" w:sz="0" w:space="0" w:color="auto"/>
      </w:divBdr>
    </w:div>
    <w:div w:id="982807395">
      <w:bodyDiv w:val="1"/>
      <w:marLeft w:val="0"/>
      <w:marRight w:val="0"/>
      <w:marTop w:val="0"/>
      <w:marBottom w:val="0"/>
      <w:divBdr>
        <w:top w:val="none" w:sz="0" w:space="0" w:color="auto"/>
        <w:left w:val="none" w:sz="0" w:space="0" w:color="auto"/>
        <w:bottom w:val="none" w:sz="0" w:space="0" w:color="auto"/>
        <w:right w:val="none" w:sz="0" w:space="0" w:color="auto"/>
      </w:divBdr>
    </w:div>
    <w:div w:id="998725662">
      <w:bodyDiv w:val="1"/>
      <w:marLeft w:val="0"/>
      <w:marRight w:val="0"/>
      <w:marTop w:val="0"/>
      <w:marBottom w:val="0"/>
      <w:divBdr>
        <w:top w:val="none" w:sz="0" w:space="0" w:color="auto"/>
        <w:left w:val="none" w:sz="0" w:space="0" w:color="auto"/>
        <w:bottom w:val="none" w:sz="0" w:space="0" w:color="auto"/>
        <w:right w:val="none" w:sz="0" w:space="0" w:color="auto"/>
      </w:divBdr>
    </w:div>
    <w:div w:id="1125732851">
      <w:bodyDiv w:val="1"/>
      <w:marLeft w:val="0"/>
      <w:marRight w:val="0"/>
      <w:marTop w:val="0"/>
      <w:marBottom w:val="0"/>
      <w:divBdr>
        <w:top w:val="none" w:sz="0" w:space="0" w:color="auto"/>
        <w:left w:val="none" w:sz="0" w:space="0" w:color="auto"/>
        <w:bottom w:val="none" w:sz="0" w:space="0" w:color="auto"/>
        <w:right w:val="none" w:sz="0" w:space="0" w:color="auto"/>
      </w:divBdr>
    </w:div>
    <w:div w:id="1140541819">
      <w:bodyDiv w:val="1"/>
      <w:marLeft w:val="0"/>
      <w:marRight w:val="0"/>
      <w:marTop w:val="0"/>
      <w:marBottom w:val="0"/>
      <w:divBdr>
        <w:top w:val="none" w:sz="0" w:space="0" w:color="auto"/>
        <w:left w:val="none" w:sz="0" w:space="0" w:color="auto"/>
        <w:bottom w:val="none" w:sz="0" w:space="0" w:color="auto"/>
        <w:right w:val="none" w:sz="0" w:space="0" w:color="auto"/>
      </w:divBdr>
    </w:div>
    <w:div w:id="1313213577">
      <w:bodyDiv w:val="1"/>
      <w:marLeft w:val="0"/>
      <w:marRight w:val="0"/>
      <w:marTop w:val="0"/>
      <w:marBottom w:val="0"/>
      <w:divBdr>
        <w:top w:val="none" w:sz="0" w:space="0" w:color="auto"/>
        <w:left w:val="none" w:sz="0" w:space="0" w:color="auto"/>
        <w:bottom w:val="none" w:sz="0" w:space="0" w:color="auto"/>
        <w:right w:val="none" w:sz="0" w:space="0" w:color="auto"/>
      </w:divBdr>
    </w:div>
    <w:div w:id="1660887764">
      <w:bodyDiv w:val="1"/>
      <w:marLeft w:val="0"/>
      <w:marRight w:val="0"/>
      <w:marTop w:val="0"/>
      <w:marBottom w:val="0"/>
      <w:divBdr>
        <w:top w:val="none" w:sz="0" w:space="0" w:color="auto"/>
        <w:left w:val="none" w:sz="0" w:space="0" w:color="auto"/>
        <w:bottom w:val="none" w:sz="0" w:space="0" w:color="auto"/>
        <w:right w:val="none" w:sz="0" w:space="0" w:color="auto"/>
      </w:divBdr>
    </w:div>
    <w:div w:id="1733385792">
      <w:bodyDiv w:val="1"/>
      <w:marLeft w:val="0"/>
      <w:marRight w:val="0"/>
      <w:marTop w:val="0"/>
      <w:marBottom w:val="0"/>
      <w:divBdr>
        <w:top w:val="none" w:sz="0" w:space="0" w:color="auto"/>
        <w:left w:val="none" w:sz="0" w:space="0" w:color="auto"/>
        <w:bottom w:val="none" w:sz="0" w:space="0" w:color="auto"/>
        <w:right w:val="none" w:sz="0" w:space="0" w:color="auto"/>
      </w:divBdr>
    </w:div>
    <w:div w:id="1792360645">
      <w:bodyDiv w:val="1"/>
      <w:marLeft w:val="0"/>
      <w:marRight w:val="0"/>
      <w:marTop w:val="0"/>
      <w:marBottom w:val="0"/>
      <w:divBdr>
        <w:top w:val="none" w:sz="0" w:space="0" w:color="auto"/>
        <w:left w:val="none" w:sz="0" w:space="0" w:color="auto"/>
        <w:bottom w:val="none" w:sz="0" w:space="0" w:color="auto"/>
        <w:right w:val="none" w:sz="0" w:space="0" w:color="auto"/>
      </w:divBdr>
    </w:div>
    <w:div w:id="1809973798">
      <w:bodyDiv w:val="1"/>
      <w:marLeft w:val="0"/>
      <w:marRight w:val="0"/>
      <w:marTop w:val="0"/>
      <w:marBottom w:val="0"/>
      <w:divBdr>
        <w:top w:val="none" w:sz="0" w:space="0" w:color="auto"/>
        <w:left w:val="none" w:sz="0" w:space="0" w:color="auto"/>
        <w:bottom w:val="none" w:sz="0" w:space="0" w:color="auto"/>
        <w:right w:val="none" w:sz="0" w:space="0" w:color="auto"/>
      </w:divBdr>
    </w:div>
    <w:div w:id="1960455717">
      <w:bodyDiv w:val="1"/>
      <w:marLeft w:val="0"/>
      <w:marRight w:val="0"/>
      <w:marTop w:val="0"/>
      <w:marBottom w:val="0"/>
      <w:divBdr>
        <w:top w:val="none" w:sz="0" w:space="0" w:color="auto"/>
        <w:left w:val="none" w:sz="0" w:space="0" w:color="auto"/>
        <w:bottom w:val="none" w:sz="0" w:space="0" w:color="auto"/>
        <w:right w:val="none" w:sz="0" w:space="0" w:color="auto"/>
      </w:divBdr>
    </w:div>
    <w:div w:id="19809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Report Title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7A2231-CD08-43B7-A89E-6DF26790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3297</Words>
  <Characters>18794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STATE FISCAL TRANSPARENCY, ACCOUNTABILITY AND SUSTAINABILITY (SFTAS) OVERVIEW OF TOOLKIT ON BUDGET PERFORMANCE REPORTING</vt:lpstr>
    </vt:vector>
  </TitlesOfParts>
  <Company>WYG Group Ltd</Company>
  <LinksUpToDate>false</LinksUpToDate>
  <CharactersWithSpaces>22047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FISCAL TRANSPARENCY, ACCOUNTABILITY AND SUSTAINABILITY (SFTAS) OVERVIEW OF TOOLKIT ON BUDGET PERFORMANCE REPORTING</dc:title>
  <dc:subject>consultant guide – Budget Performance Reporting</dc:subject>
  <dc:creator>April 2020</dc:creator>
  <cp:lastModifiedBy>Olanrewaju Ajogbasile</cp:lastModifiedBy>
  <cp:revision>37</cp:revision>
  <cp:lastPrinted>2019-05-09T13:51:00Z</cp:lastPrinted>
  <dcterms:created xsi:type="dcterms:W3CDTF">2020-05-21T16:58:00Z</dcterms:created>
  <dcterms:modified xsi:type="dcterms:W3CDTF">2020-06-29T07:22:00Z</dcterms:modified>
</cp:coreProperties>
</file>